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39317" w14:textId="3F817979" w:rsidR="00320EE1" w:rsidRPr="00B266B0" w:rsidRDefault="00320EE1" w:rsidP="00320EE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912236">
        <w:rPr>
          <w:bCs/>
          <w:noProof w:val="0"/>
          <w:sz w:val="24"/>
          <w:szCs w:val="24"/>
        </w:rPr>
        <w:t>1663</w:t>
      </w:r>
    </w:p>
    <w:p w14:paraId="05FE47DF" w14:textId="0008751A" w:rsidR="00CD4C7B" w:rsidRPr="00B1063A" w:rsidRDefault="00320EE1" w:rsidP="00320EE1">
      <w:pPr>
        <w:pStyle w:val="Header"/>
        <w:rPr>
          <w:bCs/>
          <w:noProof w:val="0"/>
          <w:sz w:val="24"/>
          <w:lang w:val="en-US"/>
        </w:rPr>
      </w:pPr>
      <w:r>
        <w:rPr>
          <w:bCs/>
          <w:sz w:val="24"/>
          <w:szCs w:val="24"/>
          <w:lang w:eastAsia="zh-CN"/>
        </w:rPr>
        <w:t>Athens, Greece</w:t>
      </w:r>
      <w:r w:rsidRPr="00A36F5F">
        <w:rPr>
          <w:bCs/>
          <w:sz w:val="24"/>
          <w:szCs w:val="24"/>
          <w:lang w:eastAsia="zh-CN"/>
        </w:rPr>
        <w:t xml:space="preserve">, </w:t>
      </w:r>
      <w:r>
        <w:rPr>
          <w:bCs/>
          <w:sz w:val="24"/>
          <w:szCs w:val="24"/>
          <w:lang w:eastAsia="zh-CN"/>
        </w:rPr>
        <w:t>27 February</w:t>
      </w:r>
      <w:r w:rsidRPr="005C7CD5">
        <w:rPr>
          <w:bCs/>
          <w:sz w:val="24"/>
          <w:szCs w:val="24"/>
          <w:lang w:eastAsia="zh-CN"/>
        </w:rPr>
        <w:t xml:space="preserve"> – </w:t>
      </w:r>
      <w:r>
        <w:rPr>
          <w:bCs/>
          <w:sz w:val="24"/>
          <w:szCs w:val="24"/>
          <w:lang w:eastAsia="zh-CN"/>
        </w:rPr>
        <w:t>03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w:t>
      </w:r>
      <w:r>
        <w:rPr>
          <w:bCs/>
          <w:sz w:val="24"/>
          <w:szCs w:val="24"/>
          <w:lang w:eastAsia="zh-CN"/>
        </w:rPr>
        <w:t>3</w:t>
      </w:r>
      <w:r>
        <w:rPr>
          <w:noProof w:val="0"/>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t xml:space="preserve">   </w:t>
      </w:r>
      <w:r w:rsidR="00D6502E">
        <w:rPr>
          <w:bCs/>
          <w:sz w:val="24"/>
          <w:szCs w:val="24"/>
          <w:lang w:eastAsia="zh-CN"/>
        </w:rPr>
        <w:tab/>
      </w:r>
    </w:p>
    <w:p w14:paraId="0717E73E" w14:textId="77777777" w:rsidR="00CD4C7B" w:rsidRPr="00B1063A" w:rsidRDefault="00CD4C7B" w:rsidP="00CD4C7B">
      <w:pPr>
        <w:pStyle w:val="Header"/>
        <w:rPr>
          <w:bCs/>
          <w:noProof w:val="0"/>
          <w:sz w:val="24"/>
          <w:lang w:val="en-US"/>
        </w:rPr>
      </w:pPr>
    </w:p>
    <w:p w14:paraId="3B0EF5F6" w14:textId="4A840FC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640CC">
        <w:rPr>
          <w:rFonts w:cs="Arial"/>
          <w:b/>
          <w:bCs/>
          <w:sz w:val="24"/>
          <w:lang w:val="en-US" w:eastAsia="ja-JP"/>
        </w:rPr>
        <w:t>8.14.3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391F11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2A4426">
        <w:rPr>
          <w:rFonts w:ascii="Arial" w:hAnsi="Arial" w:cs="Arial"/>
          <w:b/>
          <w:bCs/>
          <w:sz w:val="24"/>
        </w:rPr>
        <w:t xml:space="preserve">enhancements </w:t>
      </w:r>
      <w:r w:rsidR="0079300E">
        <w:rPr>
          <w:rFonts w:ascii="Arial" w:hAnsi="Arial" w:cs="Arial"/>
          <w:b/>
          <w:bCs/>
          <w:sz w:val="24"/>
        </w:rPr>
        <w:t xml:space="preserve">for </w:t>
      </w:r>
      <w:r w:rsidR="00B35A97">
        <w:rPr>
          <w:rFonts w:ascii="Arial" w:hAnsi="Arial" w:cs="Arial"/>
          <w:b/>
          <w:bCs/>
          <w:sz w:val="24"/>
        </w:rPr>
        <w:t xml:space="preserve">RAN </w:t>
      </w:r>
      <w:r w:rsidR="00E24092">
        <w:rPr>
          <w:rFonts w:ascii="Arial" w:hAnsi="Arial" w:cs="Arial"/>
          <w:b/>
          <w:bCs/>
          <w:sz w:val="24"/>
        </w:rPr>
        <w:t xml:space="preserve">visible QoE and RAN </w:t>
      </w:r>
      <w:r w:rsidR="00B35A97">
        <w:rPr>
          <w:rFonts w:ascii="Arial" w:hAnsi="Arial" w:cs="Arial"/>
          <w:b/>
          <w:bCs/>
          <w:sz w:val="24"/>
        </w:rPr>
        <w:t>overload</w:t>
      </w:r>
      <w:r w:rsidR="0079300E">
        <w:rPr>
          <w:rFonts w:ascii="Arial" w:hAnsi="Arial" w:cs="Arial"/>
          <w:b/>
          <w:bCs/>
          <w:sz w:val="24"/>
        </w:rPr>
        <w:t xml:space="preserve"> </w:t>
      </w:r>
    </w:p>
    <w:p w14:paraId="041583D5" w14:textId="657EFB54" w:rsidR="00634172" w:rsidRPr="00B266B0" w:rsidRDefault="00634172" w:rsidP="00634172">
      <w:pPr>
        <w:ind w:left="1985" w:hanging="1985"/>
        <w:rPr>
          <w:rFonts w:ascii="Arial" w:hAnsi="Arial" w:cs="Arial"/>
          <w:b/>
          <w:bCs/>
          <w:sz w:val="24"/>
        </w:rPr>
      </w:pPr>
      <w:r>
        <w:rPr>
          <w:rFonts w:ascii="Arial" w:hAnsi="Arial" w:cs="Arial"/>
          <w:b/>
          <w:bCs/>
          <w:sz w:val="24"/>
        </w:rPr>
        <w:t>WID/SID:</w:t>
      </w:r>
      <w:r>
        <w:rPr>
          <w:rFonts w:ascii="Arial" w:hAnsi="Arial" w:cs="Arial"/>
          <w:b/>
          <w:bCs/>
          <w:sz w:val="24"/>
        </w:rPr>
        <w:tab/>
        <w:t>NR_QoE_enh-Core</w:t>
      </w:r>
      <w:r w:rsidRPr="00112F1A">
        <w:rPr>
          <w:rFonts w:ascii="Arial" w:hAnsi="Arial" w:cs="Arial"/>
          <w:b/>
          <w:bCs/>
          <w:sz w:val="24"/>
        </w:rPr>
        <w:t xml:space="preserve"> </w:t>
      </w:r>
      <w:r>
        <w:rPr>
          <w:rFonts w:ascii="Arial" w:hAnsi="Arial" w:cs="Arial"/>
          <w:b/>
          <w:bCs/>
          <w:sz w:val="24"/>
        </w:rPr>
        <w:t>- Release 18</w:t>
      </w:r>
    </w:p>
    <w:p w14:paraId="486F3BD9" w14:textId="77777777" w:rsidR="00634172" w:rsidRPr="00B266B0" w:rsidRDefault="00634172" w:rsidP="0063417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057EDC9" w14:textId="406024B8" w:rsidR="00B35A97" w:rsidRDefault="00B35A97" w:rsidP="0057648B">
      <w:pPr>
        <w:overflowPunct w:val="0"/>
        <w:autoSpaceDE w:val="0"/>
        <w:autoSpaceDN w:val="0"/>
        <w:adjustRightInd w:val="0"/>
        <w:textAlignment w:val="baseline"/>
        <w:rPr>
          <w:lang w:eastAsia="zh-CN"/>
        </w:rPr>
      </w:pPr>
      <w:r>
        <w:rPr>
          <w:lang w:eastAsia="zh-CN"/>
        </w:rPr>
        <w:t>The agreed Rel-18 QoE WI (</w:t>
      </w:r>
      <w:hyperlink r:id="rId7" w:history="1">
        <w:r>
          <w:rPr>
            <w:rStyle w:val="Hyperlink"/>
            <w:lang w:eastAsia="zh-CN"/>
          </w:rPr>
          <w:t>RP-213594</w:t>
        </w:r>
      </w:hyperlink>
      <w:r>
        <w:rPr>
          <w:lang w:eastAsia="zh-CN"/>
        </w:rPr>
        <w:t>) defines the following objective:</w:t>
      </w:r>
    </w:p>
    <w:p w14:paraId="583F8A27" w14:textId="2D778252" w:rsidR="00B35A97" w:rsidRDefault="00B35A97" w:rsidP="003E6E8F">
      <w:pPr>
        <w:numPr>
          <w:ilvl w:val="0"/>
          <w:numId w:val="6"/>
        </w:numPr>
        <w:overflowPunct w:val="0"/>
        <w:autoSpaceDE w:val="0"/>
        <w:autoSpaceDN w:val="0"/>
        <w:adjustRightInd w:val="0"/>
        <w:spacing w:after="0"/>
        <w:jc w:val="both"/>
        <w:textAlignment w:val="baseline"/>
        <w:rPr>
          <w:lang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discussed in Rel-18</w:t>
      </w:r>
      <w:r>
        <w:rPr>
          <w:rFonts w:hint="eastAsia"/>
          <w:lang w:eastAsia="zh-CN"/>
        </w:rPr>
        <w:t>[</w:t>
      </w:r>
      <w:r>
        <w:rPr>
          <w:rFonts w:hint="eastAsia"/>
          <w:lang w:val="en-US" w:eastAsia="zh-CN"/>
        </w:rPr>
        <w:t>RAN3</w:t>
      </w:r>
      <w:r>
        <w:rPr>
          <w:rFonts w:hint="eastAsia"/>
          <w:lang w:eastAsia="zh-CN"/>
        </w:rPr>
        <w:t>, RAN2].</w:t>
      </w:r>
    </w:p>
    <w:p w14:paraId="29F178C5" w14:textId="5A06410D" w:rsidR="00B35A97" w:rsidRPr="003E6E8F" w:rsidRDefault="00B35A97" w:rsidP="003E6E8F">
      <w:pPr>
        <w:pStyle w:val="Header"/>
        <w:tabs>
          <w:tab w:val="right" w:pos="9639"/>
        </w:tabs>
        <w:rPr>
          <w:rFonts w:ascii="Times New Roman" w:hAnsi="Times New Roman"/>
          <w:b w:val="0"/>
          <w:noProof w:val="0"/>
          <w:sz w:val="20"/>
          <w:lang w:eastAsia="zh-CN"/>
        </w:rPr>
      </w:pPr>
    </w:p>
    <w:p w14:paraId="5CAA2A73" w14:textId="06C6AACE" w:rsidR="002977EB" w:rsidRDefault="002977EB" w:rsidP="003E6E8F">
      <w:pPr>
        <w:pStyle w:val="Header"/>
        <w:tabs>
          <w:tab w:val="right" w:pos="9639"/>
        </w:tabs>
        <w:rPr>
          <w:rFonts w:ascii="Times New Roman" w:hAnsi="Times New Roman"/>
          <w:b w:val="0"/>
          <w:lang w:eastAsia="zh-CN"/>
        </w:rPr>
      </w:pPr>
      <w:r w:rsidRPr="002977EB">
        <w:rPr>
          <w:rFonts w:ascii="Times New Roman" w:hAnsi="Times New Roman"/>
          <w:b w:val="0"/>
          <w:noProof w:val="0"/>
          <w:sz w:val="20"/>
          <w:lang w:eastAsia="zh-CN"/>
        </w:rPr>
        <w:t xml:space="preserve">RAN2#119bis-e conducted email discussion </w:t>
      </w:r>
      <w:r w:rsidRPr="003E6E8F">
        <w:rPr>
          <w:rFonts w:ascii="Times New Roman" w:hAnsi="Times New Roman"/>
          <w:b w:val="0"/>
          <w:noProof w:val="0"/>
          <w:sz w:val="20"/>
          <w:lang w:eastAsia="zh-CN"/>
        </w:rPr>
        <w:t>[AT119bis-e][204][QoE] Summary of Rel-17 leftovers for QoE (China Telecom), summarized in</w:t>
      </w:r>
      <w:r>
        <w:rPr>
          <w:rFonts w:ascii="Times New Roman" w:hAnsi="Times New Roman"/>
          <w:b w:val="0"/>
          <w:lang w:eastAsia="zh-CN"/>
        </w:rPr>
        <w:t xml:space="preserve"> </w:t>
      </w:r>
      <w:hyperlink r:id="rId8" w:history="1">
        <w:r w:rsidRPr="002977EB">
          <w:rPr>
            <w:rStyle w:val="Hyperlink"/>
            <w:rFonts w:ascii="Times New Roman" w:hAnsi="Times New Roman"/>
            <w:b w:val="0"/>
            <w:lang w:eastAsia="zh-CN"/>
          </w:rPr>
          <w:t>R2-2210813</w:t>
        </w:r>
      </w:hyperlink>
      <w:r>
        <w:rPr>
          <w:rFonts w:ascii="Times New Roman" w:hAnsi="Times New Roman"/>
          <w:b w:val="0"/>
          <w:lang w:eastAsia="zh-CN"/>
        </w:rPr>
        <w:t xml:space="preserve">, </w:t>
      </w:r>
      <w:r w:rsidRPr="003E6E8F">
        <w:rPr>
          <w:rFonts w:ascii="Times New Roman" w:hAnsi="Times New Roman"/>
          <w:b w:val="0"/>
          <w:noProof w:val="0"/>
          <w:sz w:val="20"/>
          <w:lang w:eastAsia="zh-CN"/>
        </w:rPr>
        <w:t>which discussed Rel-17 leftover topics relevance for Rel-18 enhancements.</w:t>
      </w:r>
    </w:p>
    <w:p w14:paraId="55A2C7B2" w14:textId="36107E88" w:rsidR="003E6E8F" w:rsidRPr="002977EB" w:rsidRDefault="0057648B" w:rsidP="00FD214F">
      <w:pPr>
        <w:pStyle w:val="Header"/>
        <w:tabs>
          <w:tab w:val="left" w:pos="284"/>
          <w:tab w:val="left" w:pos="4678"/>
          <w:tab w:val="right" w:pos="9639"/>
        </w:tabs>
        <w:spacing w:before="120"/>
        <w:rPr>
          <w:rFonts w:ascii="Times New Roman" w:hAnsi="Times New Roman"/>
          <w:b w:val="0"/>
          <w:noProof w:val="0"/>
          <w:sz w:val="20"/>
          <w:lang w:eastAsia="zh-CN"/>
        </w:rPr>
      </w:pPr>
      <w:r w:rsidRPr="002977EB">
        <w:rPr>
          <w:rFonts w:ascii="Times New Roman" w:hAnsi="Times New Roman"/>
          <w:b w:val="0"/>
          <w:noProof w:val="0"/>
          <w:sz w:val="20"/>
          <w:lang w:eastAsia="zh-CN"/>
        </w:rPr>
        <w:t xml:space="preserve">In this contribution we elaborate </w:t>
      </w:r>
      <w:r w:rsidR="00FD214F">
        <w:rPr>
          <w:rFonts w:ascii="Times New Roman" w:hAnsi="Times New Roman"/>
          <w:b w:val="0"/>
          <w:noProof w:val="0"/>
          <w:sz w:val="20"/>
          <w:lang w:eastAsia="zh-CN"/>
        </w:rPr>
        <w:t xml:space="preserve">on </w:t>
      </w:r>
      <w:r w:rsidR="00B35A97" w:rsidRPr="002977EB">
        <w:rPr>
          <w:rFonts w:ascii="Times New Roman" w:hAnsi="Times New Roman"/>
          <w:b w:val="0"/>
          <w:noProof w:val="0"/>
          <w:sz w:val="20"/>
          <w:lang w:eastAsia="zh-CN"/>
        </w:rPr>
        <w:t xml:space="preserve">the </w:t>
      </w:r>
      <w:r w:rsidR="00FD214F">
        <w:rPr>
          <w:rFonts w:ascii="Times New Roman" w:hAnsi="Times New Roman"/>
          <w:b w:val="0"/>
          <w:noProof w:val="0"/>
          <w:sz w:val="20"/>
          <w:lang w:eastAsia="zh-CN"/>
        </w:rPr>
        <w:t xml:space="preserve">Rel-17 </w:t>
      </w:r>
      <w:r w:rsidR="00B35A97" w:rsidRPr="002977EB">
        <w:rPr>
          <w:rFonts w:ascii="Times New Roman" w:hAnsi="Times New Roman"/>
          <w:b w:val="0"/>
          <w:noProof w:val="0"/>
          <w:sz w:val="20"/>
          <w:lang w:eastAsia="zh-CN"/>
        </w:rPr>
        <w:t>leftover topic</w:t>
      </w:r>
      <w:r w:rsidR="008011AD" w:rsidRPr="002977EB">
        <w:rPr>
          <w:rFonts w:ascii="Times New Roman" w:hAnsi="Times New Roman"/>
          <w:b w:val="0"/>
          <w:noProof w:val="0"/>
          <w:sz w:val="20"/>
          <w:lang w:eastAsia="zh-CN"/>
        </w:rPr>
        <w:t>s</w:t>
      </w:r>
      <w:r w:rsidR="00FD214F">
        <w:rPr>
          <w:rFonts w:ascii="Times New Roman" w:hAnsi="Times New Roman"/>
          <w:b w:val="0"/>
          <w:noProof w:val="0"/>
          <w:sz w:val="20"/>
          <w:lang w:eastAsia="zh-CN"/>
        </w:rPr>
        <w:t xml:space="preserve"> in context of the required RAN2 enhancements and potential specification changes.</w:t>
      </w:r>
    </w:p>
    <w:p w14:paraId="405937EC" w14:textId="3FADD586" w:rsidR="00B61EF1" w:rsidRDefault="00B61EF1" w:rsidP="00B61EF1">
      <w:pPr>
        <w:pStyle w:val="Heading1"/>
      </w:pPr>
      <w:r w:rsidRPr="006E13D1">
        <w:t>2</w:t>
      </w:r>
      <w:r w:rsidRPr="006E13D1">
        <w:tab/>
      </w:r>
      <w:r>
        <w:t>Discussion</w:t>
      </w:r>
    </w:p>
    <w:p w14:paraId="014B499E" w14:textId="7FCE3592" w:rsidR="00FD214F" w:rsidRDefault="00FD214F" w:rsidP="00FD214F">
      <w:pPr>
        <w:pStyle w:val="Heading2"/>
      </w:pPr>
      <w:r>
        <w:rPr>
          <w:lang w:eastAsia="zh-CN"/>
        </w:rPr>
        <w:t>2.1</w:t>
      </w:r>
      <w:r>
        <w:rPr>
          <w:lang w:eastAsia="zh-CN"/>
        </w:rPr>
        <w:tab/>
        <w:t>Status on QoE Rel-17 leftovers</w:t>
      </w:r>
    </w:p>
    <w:p w14:paraId="0AE54A21" w14:textId="00547E35" w:rsidR="00FD214F" w:rsidRDefault="00FD214F" w:rsidP="00FD214F">
      <w:r>
        <w:t>The RAN2#119bis-e email discussion (</w:t>
      </w:r>
      <w:hyperlink r:id="rId9" w:history="1">
        <w:r w:rsidRPr="002977EB">
          <w:rPr>
            <w:rStyle w:val="Hyperlink"/>
            <w:lang w:eastAsia="zh-CN"/>
          </w:rPr>
          <w:t>R2-2210813</w:t>
        </w:r>
      </w:hyperlink>
      <w:r>
        <w:rPr>
          <w:b/>
          <w:lang w:eastAsia="zh-CN"/>
        </w:rPr>
        <w:t xml:space="preserve">) </w:t>
      </w:r>
      <w:r>
        <w:t xml:space="preserve">set </w:t>
      </w:r>
      <w:r w:rsidR="00044848">
        <w:t>a</w:t>
      </w:r>
      <w:r>
        <w:t xml:space="preserve"> direction for </w:t>
      </w:r>
      <w:r w:rsidR="00C96D9D">
        <w:t xml:space="preserve">Rel-17 leftovers </w:t>
      </w:r>
      <w:r>
        <w:t>scope</w:t>
      </w:r>
      <w:r w:rsidR="00044848">
        <w:t>, agreeing</w:t>
      </w:r>
      <w:r w:rsidR="0063556C">
        <w:t xml:space="preserve"> that</w:t>
      </w:r>
      <w:r w:rsidR="00044848">
        <w:t xml:space="preserve"> </w:t>
      </w:r>
      <w:r w:rsidR="00C96D9D">
        <w:t>two main features remain to be worked out as Rel-18 QoE enhancements:</w:t>
      </w:r>
    </w:p>
    <w:p w14:paraId="531FF3C6" w14:textId="71065881" w:rsidR="00C96D9D" w:rsidRPr="00AC7257" w:rsidRDefault="00C96D9D" w:rsidP="009C475D">
      <w:pPr>
        <w:pStyle w:val="ListParagraph"/>
        <w:numPr>
          <w:ilvl w:val="0"/>
          <w:numId w:val="17"/>
        </w:numPr>
        <w:rPr>
          <w:rFonts w:ascii="Times New Roman" w:hAnsi="Times New Roman"/>
          <w:b/>
          <w:bCs/>
          <w:sz w:val="20"/>
          <w:szCs w:val="20"/>
        </w:rPr>
      </w:pPr>
      <w:r w:rsidRPr="00AC7257">
        <w:rPr>
          <w:rFonts w:ascii="Times New Roman" w:hAnsi="Times New Roman"/>
          <w:b/>
          <w:bCs/>
          <w:sz w:val="20"/>
          <w:szCs w:val="20"/>
        </w:rPr>
        <w:t>RAN visible QoE:</w:t>
      </w:r>
    </w:p>
    <w:p w14:paraId="3268F73F" w14:textId="07B0ED42" w:rsidR="009C475D" w:rsidRPr="009C475D" w:rsidRDefault="009C475D" w:rsidP="009C475D">
      <w:pPr>
        <w:pStyle w:val="ListParagraph"/>
        <w:numPr>
          <w:ilvl w:val="1"/>
          <w:numId w:val="17"/>
        </w:numPr>
        <w:rPr>
          <w:rFonts w:ascii="Times New Roman" w:hAnsi="Times New Roman"/>
          <w:sz w:val="20"/>
          <w:szCs w:val="20"/>
        </w:rPr>
      </w:pPr>
      <w:r w:rsidRPr="009C475D">
        <w:rPr>
          <w:rFonts w:ascii="Times New Roman" w:hAnsi="Times New Roman"/>
          <w:sz w:val="20"/>
          <w:szCs w:val="20"/>
        </w:rPr>
        <w:t>Addition of QoS flow ID to the RAN visible QoE configuration</w:t>
      </w:r>
      <w:r w:rsidR="0086119F">
        <w:rPr>
          <w:rFonts w:ascii="Times New Roman" w:hAnsi="Times New Roman"/>
          <w:sz w:val="20"/>
          <w:szCs w:val="20"/>
        </w:rPr>
        <w:t>.</w:t>
      </w:r>
      <w:r w:rsidRPr="009C475D">
        <w:rPr>
          <w:rFonts w:ascii="Times New Roman" w:hAnsi="Times New Roman"/>
          <w:sz w:val="20"/>
          <w:szCs w:val="20"/>
        </w:rPr>
        <w:t xml:space="preserve"> </w:t>
      </w:r>
    </w:p>
    <w:p w14:paraId="1CDCE197" w14:textId="75A65E9C" w:rsidR="00AC7257" w:rsidRPr="00AC7257" w:rsidRDefault="00C96D9D" w:rsidP="00AC7257">
      <w:pPr>
        <w:pStyle w:val="ListParagraph"/>
        <w:numPr>
          <w:ilvl w:val="1"/>
          <w:numId w:val="17"/>
        </w:numPr>
        <w:rPr>
          <w:rFonts w:ascii="Times New Roman" w:hAnsi="Times New Roman"/>
          <w:sz w:val="20"/>
          <w:szCs w:val="20"/>
        </w:rPr>
      </w:pPr>
      <w:r w:rsidRPr="009C475D">
        <w:rPr>
          <w:rFonts w:ascii="Times New Roman" w:hAnsi="Times New Roman"/>
          <w:sz w:val="20"/>
          <w:szCs w:val="20"/>
        </w:rPr>
        <w:t>Definition of RAN visible QoE value</w:t>
      </w:r>
      <w:r w:rsidR="00AC7257">
        <w:rPr>
          <w:rFonts w:ascii="Times New Roman" w:hAnsi="Times New Roman"/>
          <w:sz w:val="20"/>
          <w:szCs w:val="20"/>
        </w:rPr>
        <w:t xml:space="preserve">: </w:t>
      </w:r>
      <w:r w:rsidR="00AC7257" w:rsidRPr="00AC7257">
        <w:rPr>
          <w:rFonts w:ascii="Times New Roman" w:hAnsi="Times New Roman"/>
          <w:sz w:val="20"/>
          <w:szCs w:val="20"/>
        </w:rPr>
        <w:t>RAN2 needs to wait for the progress of RAN3 on RVQoE value.</w:t>
      </w:r>
    </w:p>
    <w:p w14:paraId="72CCA333" w14:textId="72008361" w:rsidR="00C96D9D" w:rsidRPr="009C475D" w:rsidRDefault="00C96D9D" w:rsidP="00C96D9D">
      <w:pPr>
        <w:pStyle w:val="ListParagraph"/>
        <w:numPr>
          <w:ilvl w:val="1"/>
          <w:numId w:val="17"/>
        </w:numPr>
        <w:rPr>
          <w:rFonts w:ascii="Times New Roman" w:hAnsi="Times New Roman"/>
          <w:sz w:val="20"/>
          <w:szCs w:val="20"/>
        </w:rPr>
      </w:pPr>
      <w:r w:rsidRPr="009C475D">
        <w:rPr>
          <w:rFonts w:ascii="Times New Roman" w:hAnsi="Times New Roman"/>
          <w:sz w:val="20"/>
          <w:szCs w:val="20"/>
        </w:rPr>
        <w:t>Event-based RAN visible QoE</w:t>
      </w:r>
      <w:r w:rsidR="00AC7257">
        <w:rPr>
          <w:rFonts w:ascii="Times New Roman" w:hAnsi="Times New Roman"/>
          <w:sz w:val="20"/>
          <w:szCs w:val="20"/>
        </w:rPr>
        <w:t xml:space="preserve">: </w:t>
      </w:r>
      <w:r w:rsidR="00AC7257" w:rsidRPr="00AC7257">
        <w:rPr>
          <w:rFonts w:ascii="Times New Roman" w:hAnsi="Times New Roman"/>
          <w:sz w:val="20"/>
          <w:szCs w:val="20"/>
        </w:rPr>
        <w:t>RAN2 can discuss event-based RVQoE, including possible options, benefits, spec impacts, and complexities based on company contributions.</w:t>
      </w:r>
    </w:p>
    <w:p w14:paraId="60512308" w14:textId="3AD3C800" w:rsidR="00C96D9D" w:rsidRPr="00AC7257" w:rsidRDefault="00C96D9D" w:rsidP="00C96D9D">
      <w:pPr>
        <w:pStyle w:val="ListParagraph"/>
        <w:numPr>
          <w:ilvl w:val="0"/>
          <w:numId w:val="17"/>
        </w:numPr>
        <w:rPr>
          <w:rFonts w:ascii="Times New Roman" w:hAnsi="Times New Roman"/>
          <w:b/>
          <w:bCs/>
          <w:sz w:val="20"/>
          <w:szCs w:val="20"/>
        </w:rPr>
      </w:pPr>
      <w:r w:rsidRPr="00AC7257">
        <w:rPr>
          <w:rFonts w:ascii="Times New Roman" w:hAnsi="Times New Roman"/>
          <w:b/>
          <w:bCs/>
          <w:sz w:val="20"/>
          <w:szCs w:val="20"/>
        </w:rPr>
        <w:t>RAN overload handling:</w:t>
      </w:r>
    </w:p>
    <w:p w14:paraId="1DE2277A" w14:textId="77777777" w:rsidR="00AC7257" w:rsidRPr="00AC7257" w:rsidRDefault="00AC7257" w:rsidP="00C96D9D">
      <w:pPr>
        <w:pStyle w:val="ListParagraph"/>
        <w:numPr>
          <w:ilvl w:val="1"/>
          <w:numId w:val="17"/>
        </w:numPr>
        <w:rPr>
          <w:rFonts w:ascii="Times New Roman" w:hAnsi="Times New Roman"/>
          <w:sz w:val="20"/>
          <w:szCs w:val="20"/>
        </w:rPr>
      </w:pPr>
      <w:r w:rsidRPr="00AC7257">
        <w:rPr>
          <w:rFonts w:ascii="Times New Roman" w:hAnsi="Times New Roman"/>
          <w:sz w:val="20"/>
          <w:szCs w:val="20"/>
        </w:rPr>
        <w:t xml:space="preserve">RAN2 to postpone the discussion of the QoE reporting enhancement for overload scenario to the next meeting (based on the progress of RAN3).  </w:t>
      </w:r>
    </w:p>
    <w:p w14:paraId="5F82B9F8" w14:textId="3239F423" w:rsidR="00AC7257" w:rsidRPr="00AC7257" w:rsidRDefault="00AC7257" w:rsidP="00AC7257">
      <w:pPr>
        <w:pStyle w:val="ListParagraph"/>
        <w:numPr>
          <w:ilvl w:val="1"/>
          <w:numId w:val="17"/>
        </w:numPr>
        <w:rPr>
          <w:rFonts w:ascii="Times New Roman" w:hAnsi="Times New Roman"/>
          <w:sz w:val="20"/>
          <w:szCs w:val="20"/>
        </w:rPr>
      </w:pPr>
      <w:r w:rsidRPr="00AC7257">
        <w:rPr>
          <w:rFonts w:ascii="Times New Roman" w:hAnsi="Times New Roman"/>
          <w:sz w:val="20"/>
          <w:szCs w:val="20"/>
        </w:rPr>
        <w:t>FFS on whether to send the priority information 1) UE and gNB or 2) only to gNB</w:t>
      </w:r>
      <w:r w:rsidR="006C50A6">
        <w:rPr>
          <w:rFonts w:ascii="Times New Roman" w:hAnsi="Times New Roman"/>
          <w:sz w:val="20"/>
          <w:szCs w:val="20"/>
        </w:rPr>
        <w:t>.</w:t>
      </w:r>
      <w:r w:rsidRPr="00AC7257">
        <w:rPr>
          <w:rFonts w:ascii="Times New Roman" w:hAnsi="Times New Roman"/>
          <w:sz w:val="20"/>
          <w:szCs w:val="20"/>
        </w:rPr>
        <w:t xml:space="preserve"> </w:t>
      </w:r>
    </w:p>
    <w:p w14:paraId="72619F56" w14:textId="32BDC7F4" w:rsidR="00AC7257" w:rsidRPr="00AC7257" w:rsidRDefault="00AC7257" w:rsidP="00AC7257">
      <w:pPr>
        <w:pStyle w:val="ListParagraph"/>
        <w:numPr>
          <w:ilvl w:val="1"/>
          <w:numId w:val="17"/>
        </w:numPr>
        <w:rPr>
          <w:rFonts w:ascii="Times New Roman" w:hAnsi="Times New Roman"/>
          <w:sz w:val="20"/>
          <w:szCs w:val="20"/>
        </w:rPr>
      </w:pPr>
      <w:r w:rsidRPr="00AC7257">
        <w:rPr>
          <w:rFonts w:ascii="Times New Roman" w:hAnsi="Times New Roman"/>
          <w:sz w:val="20"/>
          <w:szCs w:val="20"/>
        </w:rPr>
        <w:t xml:space="preserve">To wait for RAN3 decision on granularity of priority. </w:t>
      </w:r>
    </w:p>
    <w:p w14:paraId="754215FF" w14:textId="08B0E685" w:rsidR="00175A0A" w:rsidRPr="00900B99" w:rsidRDefault="00175A0A" w:rsidP="009C475D">
      <w:pPr>
        <w:rPr>
          <w:b/>
          <w:bCs/>
        </w:rPr>
      </w:pPr>
      <w:r w:rsidRPr="00900B99">
        <w:rPr>
          <w:b/>
          <w:bCs/>
        </w:rPr>
        <w:t>Observation 1: The identified Rel-17 leftovers concerned RAN visible QoE and RAN overload handling.</w:t>
      </w:r>
    </w:p>
    <w:p w14:paraId="18F640F9" w14:textId="180972EE" w:rsidR="00175A0A" w:rsidRDefault="00175A0A" w:rsidP="00175A0A">
      <w:pPr>
        <w:pStyle w:val="Heading2"/>
      </w:pPr>
      <w:r>
        <w:rPr>
          <w:lang w:eastAsia="zh-CN"/>
        </w:rPr>
        <w:t>2.2</w:t>
      </w:r>
      <w:r>
        <w:rPr>
          <w:lang w:eastAsia="zh-CN"/>
        </w:rPr>
        <w:tab/>
        <w:t>RAN visible QoE enhancements</w:t>
      </w:r>
    </w:p>
    <w:p w14:paraId="0C4DBEF7" w14:textId="78F49872" w:rsidR="009C475D" w:rsidRDefault="009C475D" w:rsidP="009C475D">
      <w:r>
        <w:t>For RAN visible QoE</w:t>
      </w:r>
      <w:r w:rsidR="00AC7257">
        <w:t>,</w:t>
      </w:r>
      <w:r>
        <w:t xml:space="preserve"> we note that the addition of QoS flow ID to the QoE configuration</w:t>
      </w:r>
      <w:r w:rsidR="00AC7257">
        <w:t xml:space="preserve"> was</w:t>
      </w:r>
      <w:r>
        <w:t xml:space="preserve"> guided according to the received LS in R2-2211166</w:t>
      </w:r>
      <w:r w:rsidR="00AC7257">
        <w:t xml:space="preserve"> and agreed in the running 38.300 CR (R2-2213053). Definition of RAN visible QoE </w:t>
      </w:r>
      <w:r w:rsidR="0063556C">
        <w:t xml:space="preserve">value is under discussion in RAN3, with a conclusion that it requires SA4 input. </w:t>
      </w:r>
      <w:r w:rsidR="00AC7257">
        <w:t>Thus, the</w:t>
      </w:r>
      <w:r w:rsidR="0063556C">
        <w:t xml:space="preserve"> remaining RAN2 scope</w:t>
      </w:r>
      <w:r w:rsidR="00AC7257">
        <w:t xml:space="preserve"> for RAN-visible QoE concern</w:t>
      </w:r>
      <w:r w:rsidR="00175A0A">
        <w:t>s</w:t>
      </w:r>
      <w:r w:rsidR="00AC7257">
        <w:t xml:space="preserve"> </w:t>
      </w:r>
      <w:r w:rsidR="0063556C">
        <w:t xml:space="preserve">Event-based </w:t>
      </w:r>
      <w:r w:rsidR="00AC7257">
        <w:t>RAN visible QoE</w:t>
      </w:r>
      <w:r w:rsidR="0063556C">
        <w:t xml:space="preserve">. </w:t>
      </w:r>
    </w:p>
    <w:p w14:paraId="4BEC882F" w14:textId="2EB9CEDB" w:rsidR="00175A0A" w:rsidRPr="00344CEF" w:rsidRDefault="00175A0A" w:rsidP="00175A0A">
      <w:pPr>
        <w:rPr>
          <w:rFonts w:ascii="Courier New" w:hAnsi="Courier New"/>
          <w:b/>
          <w:bCs/>
          <w:noProof/>
          <w:sz w:val="16"/>
          <w:lang w:eastAsia="en-GB"/>
        </w:rPr>
      </w:pPr>
      <w:r w:rsidRPr="00344CEF">
        <w:rPr>
          <w:b/>
          <w:bCs/>
        </w:rPr>
        <w:t>Observation 2: RAN2 scope for RAN-visible QoE concerns evaluation of a gain vs complexity for event-based RAN visible QoE.</w:t>
      </w:r>
    </w:p>
    <w:p w14:paraId="6342AC16" w14:textId="6F1800D9" w:rsidR="00F904F2" w:rsidRDefault="00F904F2" w:rsidP="00175A0A">
      <w:r>
        <w:lastRenderedPageBreak/>
        <w:t xml:space="preserve">RAN visible QoE measurements have been introduced in Rel-17, as a subset of container-based QoE configuration and reporting from the UE, for the use by gNB, for network optimization purposes. </w:t>
      </w:r>
    </w:p>
    <w:p w14:paraId="14C5C010" w14:textId="4A3E4605" w:rsidR="00F904F2" w:rsidRDefault="00F904F2" w:rsidP="00175A0A">
      <w:r>
        <w:t>The gNB can configure two types of the RAN visible QoE metrics:</w:t>
      </w:r>
    </w:p>
    <w:p w14:paraId="7BC086B0" w14:textId="77777777" w:rsidR="00F904F2" w:rsidRPr="00F43A82" w:rsidRDefault="00F904F2" w:rsidP="00F904F2">
      <w:pPr>
        <w:pStyle w:val="PL"/>
      </w:pPr>
      <w:r w:rsidRPr="00F43A82">
        <w:t xml:space="preserve">RAN-VisibleParameters-r17 ::=        </w:t>
      </w:r>
      <w:r w:rsidRPr="00F43A82">
        <w:rPr>
          <w:color w:val="993366"/>
        </w:rPr>
        <w:t>SEQUENCE</w:t>
      </w:r>
      <w:r w:rsidRPr="00F43A82">
        <w:t xml:space="preserve"> {</w:t>
      </w:r>
    </w:p>
    <w:p w14:paraId="23FC0D51" w14:textId="77777777" w:rsidR="00F904F2" w:rsidRPr="00F43A82" w:rsidRDefault="00F904F2" w:rsidP="00F904F2">
      <w:pPr>
        <w:pStyle w:val="PL"/>
        <w:rPr>
          <w:color w:val="808080"/>
        </w:rPr>
      </w:pPr>
      <w:r w:rsidRPr="00F43A82">
        <w:t xml:space="preserve">    ran-VisiblePeriodicity-r17           </w:t>
      </w:r>
      <w:r w:rsidRPr="00F43A82">
        <w:rPr>
          <w:color w:val="993366"/>
        </w:rPr>
        <w:t>ENUMERATED</w:t>
      </w:r>
      <w:r w:rsidRPr="00F43A82">
        <w:t xml:space="preserve"> {ms120, ms240, ms480, ms640, ms1024}                            </w:t>
      </w:r>
      <w:r w:rsidRPr="00F43A82">
        <w:rPr>
          <w:color w:val="993366"/>
        </w:rPr>
        <w:t>OPTIONAL</w:t>
      </w:r>
      <w:r w:rsidRPr="00F43A82">
        <w:t xml:space="preserve">, </w:t>
      </w:r>
      <w:r w:rsidRPr="00F43A82">
        <w:rPr>
          <w:color w:val="808080"/>
        </w:rPr>
        <w:t>-- Need S</w:t>
      </w:r>
    </w:p>
    <w:p w14:paraId="1797AE2D" w14:textId="77777777" w:rsidR="00F904F2" w:rsidRPr="00F43A82" w:rsidRDefault="00F904F2" w:rsidP="00F904F2">
      <w:pPr>
        <w:pStyle w:val="PL"/>
        <w:rPr>
          <w:color w:val="808080"/>
        </w:rPr>
      </w:pPr>
      <w:r w:rsidRPr="00F43A82">
        <w:t xml:space="preserve">    </w:t>
      </w:r>
      <w:r w:rsidRPr="00F904F2">
        <w:rPr>
          <w:highlight w:val="yellow"/>
        </w:rPr>
        <w:t>numberOfBufferLevelEntries</w:t>
      </w:r>
      <w:r w:rsidRPr="00F43A82">
        <w:t xml:space="preserve">-r17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3101AE58" w14:textId="77777777" w:rsidR="00F904F2" w:rsidRPr="00F43A82" w:rsidRDefault="00F904F2" w:rsidP="00F904F2">
      <w:pPr>
        <w:pStyle w:val="PL"/>
        <w:rPr>
          <w:color w:val="808080"/>
        </w:rPr>
      </w:pPr>
      <w:r w:rsidRPr="00F43A82">
        <w:t xml:space="preserve">    </w:t>
      </w:r>
      <w:r w:rsidRPr="00F904F2">
        <w:rPr>
          <w:highlight w:val="yellow"/>
        </w:rPr>
        <w:t>reportPlayoutDelayForMediaStartup</w:t>
      </w:r>
      <w:r w:rsidRPr="00F43A82">
        <w:t xml:space="preserve">-r17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288A3013" w14:textId="77777777" w:rsidR="00F904F2" w:rsidRPr="00F43A82" w:rsidRDefault="00F904F2" w:rsidP="00F904F2">
      <w:pPr>
        <w:pStyle w:val="PL"/>
      </w:pPr>
      <w:r w:rsidRPr="00F43A82">
        <w:t xml:space="preserve">    ...</w:t>
      </w:r>
    </w:p>
    <w:p w14:paraId="58631507" w14:textId="77777777" w:rsidR="00F904F2" w:rsidRPr="00F43A82" w:rsidRDefault="00F904F2" w:rsidP="00F904F2">
      <w:pPr>
        <w:pStyle w:val="PL"/>
      </w:pPr>
      <w:r w:rsidRPr="00F43A82">
        <w:t>}</w:t>
      </w:r>
    </w:p>
    <w:p w14:paraId="59BF9E83" w14:textId="23B62DD2" w:rsidR="0098227A" w:rsidRDefault="00F904F2" w:rsidP="00F904F2">
      <w:pPr>
        <w:spacing w:before="120"/>
      </w:pPr>
      <w:r>
        <w:t>For the two metrics, RAN3</w:t>
      </w:r>
      <w:r w:rsidR="0098227A">
        <w:t>#118</w:t>
      </w:r>
      <w:r>
        <w:t xml:space="preserve"> decided on threshold-based triggers</w:t>
      </w:r>
      <w:r w:rsidR="0098227A">
        <w:t>:</w:t>
      </w:r>
    </w:p>
    <w:p w14:paraId="0C5CC4C8" w14:textId="356D2891" w:rsidR="00F904F2" w:rsidRPr="0098227A" w:rsidRDefault="00F904F2" w:rsidP="0098227A">
      <w:pPr>
        <w:pStyle w:val="ListParagraph"/>
        <w:numPr>
          <w:ilvl w:val="0"/>
          <w:numId w:val="20"/>
        </w:numPr>
        <w:spacing w:before="120"/>
        <w:rPr>
          <w:rFonts w:eastAsia="Calibri" w:cs="Calibri"/>
          <w:bCs/>
          <w:color w:val="008000"/>
          <w:sz w:val="18"/>
        </w:rPr>
      </w:pPr>
      <w:r w:rsidRPr="0098227A">
        <w:rPr>
          <w:rFonts w:cs="Calibri"/>
          <w:bCs/>
          <w:color w:val="008000"/>
          <w:sz w:val="18"/>
        </w:rPr>
        <w:t>Introduce buffer level as a threshold-based trigger for RVQoE reporting.</w:t>
      </w:r>
    </w:p>
    <w:p w14:paraId="5DF5EAEC" w14:textId="399C4B9A" w:rsidR="00F904F2" w:rsidRPr="0098227A" w:rsidRDefault="00F904F2" w:rsidP="0098227A">
      <w:pPr>
        <w:pStyle w:val="ListParagraph"/>
        <w:numPr>
          <w:ilvl w:val="0"/>
          <w:numId w:val="20"/>
        </w:numPr>
        <w:spacing w:before="120"/>
        <w:rPr>
          <w:rFonts w:cs="Calibri"/>
          <w:bCs/>
          <w:color w:val="008000"/>
          <w:sz w:val="18"/>
        </w:rPr>
      </w:pPr>
      <w:r w:rsidRPr="0098227A">
        <w:rPr>
          <w:rFonts w:cs="Calibri"/>
          <w:bCs/>
          <w:color w:val="008000"/>
          <w:sz w:val="18"/>
        </w:rPr>
        <w:t>Do not introduce the threshold-based trigger for reporting playout delay for media startup.</w:t>
      </w:r>
    </w:p>
    <w:p w14:paraId="63DFD2A8" w14:textId="6C81BE45" w:rsidR="00820265" w:rsidRDefault="0098227A" w:rsidP="0033723E">
      <w:pPr>
        <w:jc w:val="both"/>
      </w:pPr>
      <w:r>
        <w:t>One of the motivations to introduce the threshold-based trigger has been to</w:t>
      </w:r>
      <w:r w:rsidR="00926D8B">
        <w:t xml:space="preserve"> apply</w:t>
      </w:r>
      <w:r>
        <w:t xml:space="preserve"> </w:t>
      </w:r>
      <w:r w:rsidR="00926D8B">
        <w:t xml:space="preserve">certain </w:t>
      </w:r>
      <w:r>
        <w:t>filter</w:t>
      </w:r>
      <w:r w:rsidR="00926D8B">
        <w:t>ing-</w:t>
      </w:r>
      <w:r>
        <w:t xml:space="preserve">out </w:t>
      </w:r>
      <w:r w:rsidR="00926D8B">
        <w:t xml:space="preserve">to </w:t>
      </w:r>
      <w:r>
        <w:t>RAN visible QoE metrics and mitigate impacts to the signalling overhead in the air interface. In our understanding, event-based reporting would target the same gain. Thus, it becomes unclear why two mechanisms for filtering RAN visible data would be needed</w:t>
      </w:r>
      <w:r w:rsidR="00820265">
        <w:t xml:space="preserve">. </w:t>
      </w:r>
      <w:r>
        <w:t>A</w:t>
      </w:r>
      <w:r w:rsidR="00820265">
        <w:t>t</w:t>
      </w:r>
      <w:r>
        <w:t xml:space="preserve"> the same time, </w:t>
      </w:r>
      <w:r w:rsidR="00BC72F6">
        <w:t xml:space="preserve">metrics of </w:t>
      </w:r>
      <w:r w:rsidR="00F904F2">
        <w:t>RAN visible QoE</w:t>
      </w:r>
      <w:r w:rsidR="00BC72F6">
        <w:t xml:space="preserve"> </w:t>
      </w:r>
      <w:r>
        <w:t xml:space="preserve">is </w:t>
      </w:r>
      <w:r w:rsidR="00F904F2">
        <w:t xml:space="preserve">from the OAM or the </w:t>
      </w:r>
      <w:r>
        <w:t xml:space="preserve">Core Network. Therefore, any “event” definition </w:t>
      </w:r>
      <w:r w:rsidR="00A030A6">
        <w:t xml:space="preserve">for metrics trigger </w:t>
      </w:r>
      <w:r>
        <w:t xml:space="preserve">would impose further impacts to </w:t>
      </w:r>
      <w:r w:rsidR="00820265">
        <w:t xml:space="preserve">the </w:t>
      </w:r>
      <w:r>
        <w:t>network interfaces</w:t>
      </w:r>
      <w:r w:rsidR="00820265">
        <w:t xml:space="preserve"> and</w:t>
      </w:r>
      <w:r>
        <w:t xml:space="preserve"> UE implementation</w:t>
      </w:r>
      <w:r w:rsidR="00820265">
        <w:t>.</w:t>
      </w:r>
    </w:p>
    <w:p w14:paraId="0BB3EB8F" w14:textId="46E78ECF" w:rsidR="00820265" w:rsidRDefault="00820265" w:rsidP="00175A0A">
      <w:r>
        <w:t>Furthermore, we note that according to Rel-17 RAN visible QoE is supported in RRC_CONNECTED UE state, which implies the gNB is in a full control to maintain and decide when the QoE configuration can be initiated, modified (e.g. change of periodicity) or released.</w:t>
      </w:r>
      <w:r w:rsidR="00BC1993">
        <w:t xml:space="preserve"> </w:t>
      </w:r>
      <w:r w:rsidR="009B7476">
        <w:t xml:space="preserve">It also can </w:t>
      </w:r>
      <w:r w:rsidR="002555D6">
        <w:t xml:space="preserve">control </w:t>
      </w:r>
      <w:r w:rsidR="0065247A">
        <w:t xml:space="preserve">RAN </w:t>
      </w:r>
      <w:r w:rsidR="00F546B0">
        <w:t>v</w:t>
      </w:r>
      <w:r w:rsidR="0065247A">
        <w:t>isible</w:t>
      </w:r>
      <w:r w:rsidR="00DC0473">
        <w:t xml:space="preserve"> report</w:t>
      </w:r>
      <w:r w:rsidR="0065247A">
        <w:t>ing periodicity</w:t>
      </w:r>
      <w:r w:rsidR="00866A69">
        <w:t xml:space="preserve"> </w:t>
      </w:r>
      <w:r w:rsidR="00742394">
        <w:t xml:space="preserve">in UE AS </w:t>
      </w:r>
      <w:r w:rsidR="00F546B0">
        <w:t xml:space="preserve">layer </w:t>
      </w:r>
      <w:r w:rsidR="00E33FD7">
        <w:t xml:space="preserve">to </w:t>
      </w:r>
      <w:r w:rsidR="002555D6">
        <w:t>avoid</w:t>
      </w:r>
      <w:r w:rsidR="00866A69">
        <w:t xml:space="preserve"> </w:t>
      </w:r>
      <w:r w:rsidR="00B819D9">
        <w:t>too many</w:t>
      </w:r>
      <w:r w:rsidR="00620822">
        <w:t xml:space="preserve"> RV QoE reporting data to network.</w:t>
      </w:r>
      <w:r w:rsidR="001F3CBA">
        <w:t xml:space="preserve"> </w:t>
      </w:r>
      <w:r w:rsidR="002555D6">
        <w:t xml:space="preserve"> </w:t>
      </w:r>
      <w:r>
        <w:t xml:space="preserve">  </w:t>
      </w:r>
    </w:p>
    <w:p w14:paraId="4E14E701" w14:textId="2ACB3D11" w:rsidR="00175A0A" w:rsidRPr="005A26DB" w:rsidRDefault="00820265" w:rsidP="00175A0A">
      <w:pPr>
        <w:rPr>
          <w:b/>
          <w:bCs/>
          <w:lang w:val="en-US" w:eastAsia="zh-CN"/>
        </w:rPr>
      </w:pPr>
      <w:r w:rsidRPr="005A26DB">
        <w:rPr>
          <w:b/>
          <w:bCs/>
          <w:lang w:val="en-US" w:eastAsia="zh-CN"/>
        </w:rPr>
        <w:t xml:space="preserve">Observation </w:t>
      </w:r>
      <w:r w:rsidR="0070182A">
        <w:rPr>
          <w:b/>
          <w:bCs/>
          <w:lang w:val="en-US" w:eastAsia="zh-CN"/>
        </w:rPr>
        <w:t>3</w:t>
      </w:r>
      <w:r w:rsidRPr="005A26DB">
        <w:rPr>
          <w:b/>
          <w:bCs/>
          <w:lang w:val="en-US" w:eastAsia="zh-CN"/>
        </w:rPr>
        <w:t xml:space="preserve">: </w:t>
      </w:r>
      <w:r w:rsidR="00175A0A" w:rsidRPr="005A26DB">
        <w:rPr>
          <w:b/>
          <w:bCs/>
          <w:lang w:val="en-US" w:eastAsia="zh-CN"/>
        </w:rPr>
        <w:t xml:space="preserve">RAN </w:t>
      </w:r>
      <w:r w:rsidRPr="005A26DB">
        <w:rPr>
          <w:b/>
          <w:bCs/>
          <w:lang w:val="en-US" w:eastAsia="zh-CN"/>
        </w:rPr>
        <w:t>is able to control</w:t>
      </w:r>
      <w:r w:rsidR="00175A0A" w:rsidRPr="005A26DB">
        <w:rPr>
          <w:b/>
          <w:bCs/>
          <w:lang w:val="en-US" w:eastAsia="zh-CN"/>
        </w:rPr>
        <w:t xml:space="preserve"> </w:t>
      </w:r>
      <w:r w:rsidRPr="005A26DB">
        <w:rPr>
          <w:b/>
          <w:bCs/>
          <w:lang w:val="en-US" w:eastAsia="zh-CN"/>
        </w:rPr>
        <w:t xml:space="preserve">QoE </w:t>
      </w:r>
      <w:r w:rsidR="00175A0A" w:rsidRPr="005A26DB">
        <w:rPr>
          <w:b/>
          <w:bCs/>
          <w:lang w:val="en-US" w:eastAsia="zh-CN"/>
        </w:rPr>
        <w:t>configurations</w:t>
      </w:r>
      <w:r w:rsidR="00825416">
        <w:rPr>
          <w:b/>
          <w:bCs/>
          <w:lang w:val="en-US" w:eastAsia="zh-CN"/>
        </w:rPr>
        <w:t xml:space="preserve"> (</w:t>
      </w:r>
      <w:r w:rsidR="00BC1993" w:rsidRPr="00825416">
        <w:rPr>
          <w:b/>
          <w:bCs/>
          <w:lang w:val="en-US" w:eastAsia="zh-CN"/>
        </w:rPr>
        <w:t>e.g.,</w:t>
      </w:r>
      <w:r w:rsidR="00825416" w:rsidRPr="00825416">
        <w:rPr>
          <w:b/>
          <w:bCs/>
          <w:lang w:val="en-US" w:eastAsia="zh-CN"/>
        </w:rPr>
        <w:t xml:space="preserve"> change of periodicity</w:t>
      </w:r>
      <w:r w:rsidR="00825416">
        <w:rPr>
          <w:b/>
          <w:bCs/>
          <w:lang w:val="en-US" w:eastAsia="zh-CN"/>
        </w:rPr>
        <w:t>)</w:t>
      </w:r>
      <w:r w:rsidR="00175A0A" w:rsidRPr="005A26DB">
        <w:rPr>
          <w:b/>
          <w:bCs/>
          <w:lang w:val="en-US" w:eastAsia="zh-CN"/>
        </w:rPr>
        <w:t xml:space="preserve"> </w:t>
      </w:r>
      <w:r w:rsidRPr="005A26DB">
        <w:rPr>
          <w:b/>
          <w:bCs/>
          <w:lang w:val="en-US" w:eastAsia="zh-CN"/>
        </w:rPr>
        <w:t xml:space="preserve">to achieve sufficient filtering of the </w:t>
      </w:r>
      <w:r w:rsidR="00175A0A" w:rsidRPr="005A26DB">
        <w:rPr>
          <w:b/>
          <w:bCs/>
          <w:lang w:val="en-US" w:eastAsia="zh-CN"/>
        </w:rPr>
        <w:t xml:space="preserve">RAN visible QoE results. </w:t>
      </w:r>
    </w:p>
    <w:p w14:paraId="732F36A5" w14:textId="724B6F67" w:rsidR="00175A0A" w:rsidRDefault="00820265" w:rsidP="00175A0A">
      <w:pPr>
        <w:rPr>
          <w:lang w:val="en-US" w:eastAsia="zh-CN"/>
        </w:rPr>
      </w:pPr>
      <w:r>
        <w:rPr>
          <w:lang w:val="en-US" w:eastAsia="zh-CN"/>
        </w:rPr>
        <w:t>Based on the observation, we believe there is no strong</w:t>
      </w:r>
      <w:r w:rsidR="00175A0A">
        <w:rPr>
          <w:lang w:val="en-US" w:eastAsia="zh-CN"/>
        </w:rPr>
        <w:t xml:space="preserve"> motivation </w:t>
      </w:r>
      <w:r>
        <w:rPr>
          <w:lang w:val="en-US" w:eastAsia="zh-CN"/>
        </w:rPr>
        <w:t>to</w:t>
      </w:r>
      <w:r w:rsidR="002F2A55">
        <w:rPr>
          <w:lang w:val="en-US" w:eastAsia="zh-CN"/>
        </w:rPr>
        <w:t xml:space="preserve"> define </w:t>
      </w:r>
      <w:r>
        <w:rPr>
          <w:lang w:val="en-US" w:eastAsia="zh-CN"/>
        </w:rPr>
        <w:t xml:space="preserve">radio or UE specific event-based </w:t>
      </w:r>
      <w:r w:rsidR="002F2A55">
        <w:rPr>
          <w:lang w:val="en-US" w:eastAsia="zh-CN"/>
        </w:rPr>
        <w:t>RAN visible QoE:</w:t>
      </w:r>
    </w:p>
    <w:p w14:paraId="1267181F" w14:textId="6B6905F6" w:rsidR="00175A0A" w:rsidRDefault="002F2A55" w:rsidP="002F2A55">
      <w:pPr>
        <w:rPr>
          <w:b/>
          <w:bCs/>
          <w:lang w:val="en-US" w:eastAsia="zh-CN"/>
        </w:rPr>
      </w:pPr>
      <w:r>
        <w:rPr>
          <w:b/>
          <w:bCs/>
          <w:lang w:val="en-US" w:eastAsia="zh-CN"/>
        </w:rPr>
        <w:t xml:space="preserve">Proposal 1: </w:t>
      </w:r>
      <w:r w:rsidR="00175A0A" w:rsidRPr="002F2A55">
        <w:rPr>
          <w:b/>
          <w:bCs/>
          <w:lang w:val="en-US" w:eastAsia="zh-CN"/>
        </w:rPr>
        <w:t>Event-based triggers for RAN visible QoE are not supported in Rel- 18</w:t>
      </w:r>
      <w:r>
        <w:rPr>
          <w:b/>
          <w:bCs/>
          <w:lang w:val="en-US" w:eastAsia="zh-CN"/>
        </w:rPr>
        <w:t>.</w:t>
      </w:r>
    </w:p>
    <w:p w14:paraId="37169060" w14:textId="74BF7E77" w:rsidR="00825416" w:rsidRPr="002F2A55" w:rsidRDefault="00825416" w:rsidP="002F2A55">
      <w:pPr>
        <w:rPr>
          <w:b/>
          <w:bCs/>
          <w:lang w:val="en-US" w:eastAsia="zh-CN"/>
        </w:rPr>
      </w:pPr>
      <w:r>
        <w:rPr>
          <w:b/>
          <w:bCs/>
          <w:lang w:val="en-US" w:eastAsia="zh-CN"/>
        </w:rPr>
        <w:t xml:space="preserve">Proposal </w:t>
      </w:r>
      <w:r w:rsidR="00213859">
        <w:rPr>
          <w:b/>
          <w:bCs/>
          <w:lang w:val="en-US" w:eastAsia="zh-CN"/>
        </w:rPr>
        <w:t>2</w:t>
      </w:r>
      <w:r>
        <w:rPr>
          <w:b/>
          <w:bCs/>
          <w:lang w:val="en-US" w:eastAsia="zh-CN"/>
        </w:rPr>
        <w:t>:</w:t>
      </w:r>
      <w:r w:rsidR="007446A5">
        <w:rPr>
          <w:b/>
          <w:bCs/>
          <w:lang w:val="en-US" w:eastAsia="zh-CN"/>
        </w:rPr>
        <w:t xml:space="preserve"> </w:t>
      </w:r>
      <w:r w:rsidR="00213859">
        <w:rPr>
          <w:b/>
          <w:bCs/>
          <w:lang w:val="en-US" w:eastAsia="zh-CN"/>
        </w:rPr>
        <w:t>T</w:t>
      </w:r>
      <w:r w:rsidR="00BE2741">
        <w:rPr>
          <w:b/>
          <w:bCs/>
          <w:lang w:val="en-US" w:eastAsia="zh-CN"/>
        </w:rPr>
        <w:t>o achieve</w:t>
      </w:r>
      <w:r w:rsidR="00742394">
        <w:rPr>
          <w:b/>
          <w:bCs/>
          <w:lang w:val="en-US" w:eastAsia="zh-CN"/>
        </w:rPr>
        <w:t xml:space="preserve"> controlling of</w:t>
      </w:r>
      <w:r w:rsidR="00BE2741">
        <w:rPr>
          <w:b/>
          <w:bCs/>
          <w:lang w:val="en-US" w:eastAsia="zh-CN"/>
        </w:rPr>
        <w:t xml:space="preserve"> </w:t>
      </w:r>
      <w:r w:rsidR="007446A5">
        <w:rPr>
          <w:b/>
          <w:bCs/>
          <w:lang w:val="en-US" w:eastAsia="zh-CN"/>
        </w:rPr>
        <w:t>RV-QOE report</w:t>
      </w:r>
      <w:r w:rsidR="00742394">
        <w:rPr>
          <w:b/>
          <w:bCs/>
          <w:lang w:val="en-US" w:eastAsia="zh-CN"/>
        </w:rPr>
        <w:t xml:space="preserve"> in air interface</w:t>
      </w:r>
      <w:r w:rsidR="00213859">
        <w:rPr>
          <w:b/>
          <w:bCs/>
          <w:lang w:val="en-US" w:eastAsia="zh-CN"/>
        </w:rPr>
        <w:t xml:space="preserve"> RAN2 can further investigate to control RAN Visible reporting periodicity in UE AS</w:t>
      </w:r>
      <w:r w:rsidR="00CD4160">
        <w:rPr>
          <w:b/>
          <w:bCs/>
          <w:lang w:val="en-US" w:eastAsia="zh-CN"/>
        </w:rPr>
        <w:t xml:space="preserve"> layer</w:t>
      </w:r>
      <w:r w:rsidR="007446A5">
        <w:rPr>
          <w:b/>
          <w:bCs/>
          <w:lang w:val="en-US" w:eastAsia="zh-CN"/>
        </w:rPr>
        <w:t>.</w:t>
      </w:r>
    </w:p>
    <w:p w14:paraId="39C3344C" w14:textId="737837FF" w:rsidR="00B61EF1" w:rsidRDefault="00B61EF1" w:rsidP="002F2A55">
      <w:pPr>
        <w:pStyle w:val="Heading2"/>
        <w:ind w:left="0" w:firstLine="0"/>
      </w:pPr>
      <w:r>
        <w:rPr>
          <w:lang w:eastAsia="zh-CN"/>
        </w:rPr>
        <w:t>2.</w:t>
      </w:r>
      <w:r w:rsidR="002F2A55">
        <w:rPr>
          <w:lang w:eastAsia="zh-CN"/>
        </w:rPr>
        <w:t>3</w:t>
      </w:r>
      <w:r>
        <w:rPr>
          <w:lang w:eastAsia="zh-CN"/>
        </w:rPr>
        <w:tab/>
        <w:t>QoE measurement handling at RAN overload</w:t>
      </w:r>
    </w:p>
    <w:p w14:paraId="6874E152" w14:textId="7DE86C44" w:rsidR="002F2A55" w:rsidRDefault="002F2A55" w:rsidP="002F2A55">
      <w:r>
        <w:t>For RAN overload handling, we note there is parallel discussion ongoing in RAN3, with the RAN3#118 agreement to have a discussion on:</w:t>
      </w:r>
    </w:p>
    <w:p w14:paraId="66F4FC6D" w14:textId="77777777" w:rsidR="002F2A55" w:rsidRPr="00434CC1" w:rsidRDefault="002F2A55" w:rsidP="002F2A55">
      <w:pPr>
        <w:pStyle w:val="ListParagraph3"/>
        <w:numPr>
          <w:ilvl w:val="0"/>
          <w:numId w:val="18"/>
        </w:numPr>
        <w:spacing w:before="120" w:beforeAutospacing="0" w:after="0" w:line="252" w:lineRule="auto"/>
        <w:rPr>
          <w:rFonts w:ascii="Calibri" w:hAnsi="Calibri" w:cs="Calibri"/>
          <w:bCs/>
          <w:color w:val="008000"/>
          <w:sz w:val="18"/>
          <w:szCs w:val="20"/>
        </w:rPr>
      </w:pPr>
      <w:r w:rsidRPr="00434CC1">
        <w:rPr>
          <w:rFonts w:ascii="Calibri" w:hAnsi="Calibri" w:cs="Calibri"/>
          <w:bCs/>
          <w:color w:val="008000"/>
          <w:sz w:val="18"/>
        </w:rPr>
        <w:t>Assistance information for handling of QoE reporting upon RAN overload.</w:t>
      </w:r>
    </w:p>
    <w:p w14:paraId="2AE9043B" w14:textId="77777777" w:rsidR="002F2A55" w:rsidRDefault="002F2A55" w:rsidP="002F2A55">
      <w:pPr>
        <w:jc w:val="both"/>
      </w:pPr>
    </w:p>
    <w:p w14:paraId="79FBF8D9" w14:textId="477B98A0" w:rsidR="002F2A55" w:rsidRPr="002A4426" w:rsidRDefault="002F2A55" w:rsidP="002F2A55">
      <w:pPr>
        <w:jc w:val="both"/>
      </w:pPr>
      <w:r>
        <w:t>RAN2 noted the need to wait for RAN3 progress, though there is a potential to involve UE in handling the ‘priority information’ of the QoE configurations. This results from the Rel-17 QoE framework, in which</w:t>
      </w:r>
      <w:r w:rsidRPr="002A4426">
        <w:t xml:space="preserve"> one UE can be configured to multiple simultaneous QoE measurements and to do multiple </w:t>
      </w:r>
      <w:r>
        <w:t xml:space="preserve">QoE sessions </w:t>
      </w:r>
      <w:r w:rsidRPr="002A4426">
        <w:t>reporting</w:t>
      </w:r>
      <w:r>
        <w:t>. Such approach</w:t>
      </w:r>
      <w:r w:rsidRPr="002A4426">
        <w:t xml:space="preserve"> means that multiple QoE measurements </w:t>
      </w:r>
      <w:r>
        <w:t xml:space="preserve">(for different services) </w:t>
      </w:r>
      <w:r w:rsidRPr="002A4426">
        <w:t>will be</w:t>
      </w:r>
      <w:r>
        <w:t xml:space="preserve"> </w:t>
      </w:r>
      <w:r w:rsidRPr="002A4426">
        <w:t>configured in one cell.</w:t>
      </w:r>
      <w:r>
        <w:t xml:space="preserve"> I</w:t>
      </w:r>
      <w:r w:rsidRPr="002A4426">
        <w:t xml:space="preserve">t </w:t>
      </w:r>
      <w:r>
        <w:t>may be not desirable</w:t>
      </w:r>
      <w:r w:rsidRPr="002A4426">
        <w:t xml:space="preserve"> to stop/pause all configured QoE measurement and reporting simultaneously to relief overload situation</w:t>
      </w:r>
      <w:r>
        <w:t xml:space="preserve">. </w:t>
      </w:r>
      <w:r w:rsidRPr="002A4426">
        <w:t>Operator may expect to maintain some configured QoE measurement reporting in such as middle-level overload situation a</w:t>
      </w:r>
      <w:r>
        <w:t xml:space="preserve">nd consider some of the </w:t>
      </w:r>
      <w:r w:rsidRPr="002A4426">
        <w:t>QoE measurements</w:t>
      </w:r>
      <w:r>
        <w:t xml:space="preserve"> more</w:t>
      </w:r>
      <w:r w:rsidRPr="002A4426">
        <w:t xml:space="preserve"> important than others.</w:t>
      </w:r>
    </w:p>
    <w:p w14:paraId="52869EFB" w14:textId="77777777" w:rsidR="002F2A55" w:rsidRDefault="002F2A55" w:rsidP="002F2A55">
      <w:pPr>
        <w:jc w:val="both"/>
      </w:pPr>
      <w:r>
        <w:t xml:space="preserve">In this context, we note that it is important to understand the desirable network capabilities. I.e., whether </w:t>
      </w:r>
      <w:r w:rsidRPr="00624C5C">
        <w:t xml:space="preserve">RAN node </w:t>
      </w:r>
      <w:r>
        <w:t xml:space="preserve">in the overload situation </w:t>
      </w:r>
      <w:r w:rsidRPr="00624C5C">
        <w:t>should</w:t>
      </w:r>
      <w:r>
        <w:t>:</w:t>
      </w:r>
    </w:p>
    <w:p w14:paraId="118DF0A8" w14:textId="77777777" w:rsidR="002F2A55" w:rsidRPr="00F413A9" w:rsidRDefault="002F2A55" w:rsidP="002F2A55">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capability to control the configured QoE measurement reporting stop/pause in one cell one by one, </w:t>
      </w:r>
    </w:p>
    <w:p w14:paraId="0D561EF9" w14:textId="77777777" w:rsidR="002F2A55" w:rsidRPr="00F413A9" w:rsidRDefault="002F2A55" w:rsidP="002F2A55">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know the QoE measurements (services) importance (e.g.</w:t>
      </w:r>
      <w:r>
        <w:rPr>
          <w:rFonts w:ascii="Times New Roman" w:hAnsi="Times New Roman"/>
          <w:sz w:val="20"/>
          <w:szCs w:val="20"/>
        </w:rPr>
        <w:t>,</w:t>
      </w:r>
      <w:r w:rsidRPr="00F413A9">
        <w:rPr>
          <w:rFonts w:ascii="Times New Roman" w:hAnsi="Times New Roman"/>
          <w:sz w:val="20"/>
          <w:szCs w:val="20"/>
        </w:rPr>
        <w:t xml:space="preserve"> to release/pause the QoE reporting with low priority first)</w:t>
      </w:r>
    </w:p>
    <w:p w14:paraId="3BEEE3F0" w14:textId="1B95803B" w:rsidR="002F2A55" w:rsidRDefault="002F2A55" w:rsidP="002F2A55">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lastRenderedPageBreak/>
        <w:t xml:space="preserve">have a capability to resume configured QoE measurement reporting according to importance when the overload situation is </w:t>
      </w:r>
      <w:r w:rsidR="009541E7" w:rsidRPr="00F413A9">
        <w:rPr>
          <w:rFonts w:ascii="Times New Roman" w:hAnsi="Times New Roman"/>
          <w:sz w:val="20"/>
          <w:szCs w:val="20"/>
        </w:rPr>
        <w:t>recovered</w:t>
      </w:r>
      <w:r w:rsidR="009541E7">
        <w:rPr>
          <w:rFonts w:ascii="Times New Roman" w:hAnsi="Times New Roman"/>
          <w:sz w:val="20"/>
          <w:szCs w:val="20"/>
        </w:rPr>
        <w:t>.</w:t>
      </w:r>
    </w:p>
    <w:p w14:paraId="56AB51D7" w14:textId="77777777" w:rsidR="002F2A55" w:rsidRPr="00F413A9" w:rsidRDefault="002F2A55" w:rsidP="002F2A55">
      <w:pPr>
        <w:pStyle w:val="ListParagraph"/>
        <w:numPr>
          <w:ilvl w:val="0"/>
          <w:numId w:val="8"/>
        </w:numPr>
        <w:jc w:val="both"/>
        <w:rPr>
          <w:rFonts w:ascii="Times New Roman" w:hAnsi="Times New Roman"/>
          <w:sz w:val="20"/>
          <w:szCs w:val="20"/>
        </w:rPr>
      </w:pPr>
      <w:r w:rsidRPr="00CE642C">
        <w:rPr>
          <w:rFonts w:ascii="Times New Roman" w:hAnsi="Times New Roman"/>
          <w:sz w:val="20"/>
          <w:szCs w:val="20"/>
        </w:rPr>
        <w:t>even have a capability to apply a longer QoE reporting period in the UE AS layer for QoE reporting with high priority in case all QoE reporting with low priority have been paused.</w:t>
      </w:r>
    </w:p>
    <w:p w14:paraId="056F9547" w14:textId="77777777" w:rsidR="002F2A55" w:rsidRDefault="002F2A55" w:rsidP="002F2A55">
      <w:pPr>
        <w:pStyle w:val="00BodyText"/>
        <w:spacing w:after="0"/>
        <w:rPr>
          <w:rFonts w:ascii="Times New Roman" w:hAnsi="Times New Roman"/>
          <w:sz w:val="20"/>
          <w:lang w:val="en-GB"/>
        </w:rPr>
      </w:pPr>
      <w:r w:rsidRPr="00F107C5">
        <w:rPr>
          <w:rFonts w:ascii="Times New Roman" w:hAnsi="Times New Roman"/>
          <w:sz w:val="20"/>
          <w:lang w:val="en-GB"/>
        </w:rPr>
        <w:t xml:space="preserve">Any further maintenance of the RAN overload </w:t>
      </w:r>
      <w:r>
        <w:rPr>
          <w:rFonts w:ascii="Times New Roman" w:hAnsi="Times New Roman"/>
          <w:sz w:val="20"/>
          <w:lang w:val="en-GB"/>
        </w:rPr>
        <w:t xml:space="preserve">situation </w:t>
      </w:r>
      <w:r w:rsidRPr="00F107C5">
        <w:rPr>
          <w:rFonts w:ascii="Times New Roman" w:hAnsi="Times New Roman"/>
          <w:sz w:val="20"/>
          <w:lang w:val="en-GB"/>
        </w:rPr>
        <w:t xml:space="preserve">within one cell, would require a determination on which QoE configuration/reporting has greater importance or how much it can relief the overload situation. </w:t>
      </w:r>
      <w:r>
        <w:rPr>
          <w:rFonts w:ascii="Times New Roman" w:hAnsi="Times New Roman"/>
          <w:sz w:val="20"/>
          <w:lang w:val="en-GB"/>
        </w:rPr>
        <w:t>The r</w:t>
      </w:r>
      <w:r w:rsidRPr="00F107C5">
        <w:rPr>
          <w:rFonts w:ascii="Times New Roman" w:hAnsi="Times New Roman"/>
          <w:sz w:val="20"/>
          <w:lang w:val="en-GB"/>
        </w:rPr>
        <w:t xml:space="preserve">espective priorities of a QoE measurement are </w:t>
      </w:r>
      <w:r>
        <w:rPr>
          <w:rFonts w:ascii="Times New Roman" w:hAnsi="Times New Roman"/>
          <w:sz w:val="20"/>
          <w:lang w:val="en-GB"/>
        </w:rPr>
        <w:t xml:space="preserve">neither received from OAM, </w:t>
      </w:r>
      <w:r w:rsidRPr="00F107C5">
        <w:rPr>
          <w:rFonts w:ascii="Times New Roman" w:hAnsi="Times New Roman"/>
          <w:sz w:val="20"/>
          <w:lang w:val="en-GB"/>
        </w:rPr>
        <w:t>n</w:t>
      </w:r>
      <w:r>
        <w:rPr>
          <w:rFonts w:ascii="Times New Roman" w:hAnsi="Times New Roman"/>
          <w:sz w:val="20"/>
          <w:lang w:val="en-GB"/>
        </w:rPr>
        <w:t>or</w:t>
      </w:r>
      <w:r w:rsidRPr="00F107C5">
        <w:rPr>
          <w:rFonts w:ascii="Times New Roman" w:hAnsi="Times New Roman"/>
          <w:sz w:val="20"/>
          <w:lang w:val="en-GB"/>
        </w:rPr>
        <w:t xml:space="preserve"> visible to gNB, thus they would have to be also based on o</w:t>
      </w:r>
      <w:r w:rsidRPr="00815047">
        <w:rPr>
          <w:rFonts w:ascii="Times New Roman" w:hAnsi="Times New Roman"/>
          <w:sz w:val="20"/>
          <w:lang w:val="en-GB"/>
        </w:rPr>
        <w:t xml:space="preserve">verload RAN situation. </w:t>
      </w:r>
    </w:p>
    <w:p w14:paraId="24BE750C" w14:textId="77777777" w:rsidR="002F2A55" w:rsidRDefault="002F2A55" w:rsidP="002F2A55">
      <w:pPr>
        <w:pStyle w:val="00BodyText"/>
        <w:spacing w:after="0"/>
        <w:rPr>
          <w:rFonts w:ascii="Times New Roman" w:hAnsi="Times New Roman"/>
          <w:sz w:val="20"/>
          <w:lang w:val="en-GB"/>
        </w:rPr>
      </w:pPr>
    </w:p>
    <w:p w14:paraId="399D264D" w14:textId="366051D1" w:rsidR="002F2A55" w:rsidRPr="009C32B6" w:rsidRDefault="002F2A55" w:rsidP="002F2A55">
      <w:pPr>
        <w:pStyle w:val="00BodyText"/>
        <w:spacing w:after="0"/>
        <w:rPr>
          <w:rFonts w:ascii="Times New Roman" w:hAnsi="Times New Roman"/>
          <w:b/>
          <w:bCs/>
          <w:sz w:val="20"/>
          <w:lang w:val="en-GB"/>
        </w:rPr>
      </w:pPr>
      <w:r w:rsidRPr="009C32B6">
        <w:rPr>
          <w:rFonts w:ascii="Times New Roman" w:hAnsi="Times New Roman"/>
          <w:b/>
          <w:bCs/>
          <w:sz w:val="20"/>
          <w:lang w:val="en-GB"/>
        </w:rPr>
        <w:t>Observation 4: The UE cannot have a clear view on which QoE configuration/reporting has greater importance in RAN overload.</w:t>
      </w:r>
    </w:p>
    <w:p w14:paraId="5F84C22E" w14:textId="77777777" w:rsidR="002F2A55" w:rsidRDefault="002F2A55" w:rsidP="002F2A55">
      <w:pPr>
        <w:pStyle w:val="Header"/>
        <w:tabs>
          <w:tab w:val="right" w:pos="9639"/>
        </w:tabs>
        <w:spacing w:before="120"/>
        <w:rPr>
          <w:rFonts w:ascii="Times New Roman" w:hAnsi="Times New Roman"/>
          <w:b w:val="0"/>
          <w:noProof w:val="0"/>
          <w:sz w:val="20"/>
          <w:lang w:eastAsia="zh-CN"/>
        </w:rPr>
      </w:pPr>
    </w:p>
    <w:p w14:paraId="32AE2EA0" w14:textId="77777777" w:rsidR="00660754" w:rsidRDefault="00B61EF1" w:rsidP="00660754">
      <w:r>
        <w:t>In the simplest approach</w:t>
      </w:r>
      <w:r w:rsidRPr="00F107C5">
        <w:t xml:space="preserve">, if the network is </w:t>
      </w:r>
      <w:r>
        <w:t xml:space="preserve">heavily </w:t>
      </w:r>
      <w:r w:rsidRPr="00F107C5">
        <w:t xml:space="preserve">overloaded, it makes sense to </w:t>
      </w:r>
      <w:r>
        <w:t xml:space="preserve">allow RAN to </w:t>
      </w:r>
      <w:r w:rsidR="00660754">
        <w:t>release</w:t>
      </w:r>
      <w:r w:rsidRPr="00F107C5">
        <w:t xml:space="preserve"> the reporting for all the QoE configurations.</w:t>
      </w:r>
      <w:r w:rsidR="00660754">
        <w:t xml:space="preserve"> </w:t>
      </w:r>
      <w:r>
        <w:t xml:space="preserve">However, RAN-initiated QoE release can result in pending QoE configuration at the Core Network, where the QoE configuration originates from. There is no information about potentially non-acknowledged QoE configuration release. </w:t>
      </w:r>
    </w:p>
    <w:p w14:paraId="5C457B6C" w14:textId="0D254479" w:rsidR="00660754" w:rsidRDefault="00660754" w:rsidP="00660754">
      <w:pPr>
        <w:rPr>
          <w:lang w:val="en-US" w:eastAsia="zh-CN"/>
        </w:rPr>
      </w:pPr>
      <w:r>
        <w:t>The a</w:t>
      </w:r>
      <w:r w:rsidRPr="00222C9B">
        <w:t>lternate way to deal with RAN overload</w:t>
      </w:r>
      <w:r>
        <w:t>, i.e.:</w:t>
      </w:r>
      <w:r w:rsidRPr="00222C9B">
        <w:t xml:space="preserve"> disabling the QoE reporting</w:t>
      </w:r>
      <w:r>
        <w:t xml:space="preserve"> by</w:t>
      </w:r>
      <w:r w:rsidRPr="00222C9B">
        <w:t xml:space="preserve"> </w:t>
      </w:r>
      <w:r>
        <w:t xml:space="preserve">the </w:t>
      </w:r>
      <w:r w:rsidRPr="00222C9B">
        <w:t>QoE Pause can</w:t>
      </w:r>
      <w:r>
        <w:t xml:space="preserve"> achieve a temporary suspension of the QoE reporting, with conformance to original Core Network configuration, but handling of the buffered data resides in UE Access Stratum only (no information to the Application Layer about the situation). With this approach </w:t>
      </w:r>
      <w:r>
        <w:rPr>
          <w:lang w:val="en-US" w:eastAsia="zh-CN"/>
        </w:rPr>
        <w:t xml:space="preserve">the UE maintains the paused reports until its reserved memory for QoE reports storage allows. Otherwise, </w:t>
      </w:r>
      <w:r w:rsidR="008A0E5B">
        <w:rPr>
          <w:lang w:val="en-US" w:eastAsia="zh-CN"/>
        </w:rPr>
        <w:t xml:space="preserve">application layer reporting </w:t>
      </w:r>
      <w:r>
        <w:rPr>
          <w:lang w:val="en-US" w:eastAsia="zh-CN"/>
        </w:rPr>
        <w:t xml:space="preserve">incoming </w:t>
      </w:r>
      <w:r w:rsidR="008A0E5B">
        <w:rPr>
          <w:lang w:val="en-US" w:eastAsia="zh-CN"/>
        </w:rPr>
        <w:t>beyond the buffer size</w:t>
      </w:r>
      <w:r>
        <w:rPr>
          <w:lang w:val="en-US" w:eastAsia="zh-CN"/>
        </w:rPr>
        <w:t xml:space="preserve"> can be discarded.</w:t>
      </w:r>
    </w:p>
    <w:p w14:paraId="47C3DEE7" w14:textId="36C90733" w:rsidR="008A0E5B" w:rsidRPr="009C32B6" w:rsidRDefault="008A0E5B" w:rsidP="008A0E5B">
      <w:pPr>
        <w:jc w:val="both"/>
        <w:rPr>
          <w:b/>
          <w:bCs/>
        </w:rPr>
      </w:pPr>
      <w:r w:rsidRPr="009C32B6">
        <w:rPr>
          <w:b/>
          <w:bCs/>
        </w:rPr>
        <w:t xml:space="preserve">Observation </w:t>
      </w:r>
      <w:r w:rsidR="002B215B" w:rsidRPr="009C32B6">
        <w:rPr>
          <w:b/>
          <w:bCs/>
        </w:rPr>
        <w:t>5</w:t>
      </w:r>
      <w:r w:rsidRPr="009C32B6">
        <w:rPr>
          <w:b/>
          <w:bCs/>
        </w:rPr>
        <w:t>: In case of RAN overload, the released QoE configuration and temporarily paused QoE reporting may have an adverse effect on QoE management and outcome.</w:t>
      </w:r>
    </w:p>
    <w:p w14:paraId="4D5A597F" w14:textId="57626670" w:rsidR="00624C5C" w:rsidRDefault="00624C5C" w:rsidP="002A4426">
      <w:pPr>
        <w:jc w:val="both"/>
      </w:pPr>
      <w:r>
        <w:t>Furthermore, t</w:t>
      </w:r>
      <w:r w:rsidRPr="002A4426">
        <w:t>he RRC Release or SRB4 rel</w:t>
      </w:r>
      <w:r>
        <w:t>e</w:t>
      </w:r>
      <w:r w:rsidRPr="002A4426">
        <w:t xml:space="preserve">ase will imply hard stop of any QoE measurements reporting. </w:t>
      </w:r>
      <w:r>
        <w:t xml:space="preserve">While the </w:t>
      </w:r>
      <w:r w:rsidR="002A4426" w:rsidRPr="002A4426">
        <w:t>Rel-17</w:t>
      </w:r>
      <w:r>
        <w:t xml:space="preserve"> remedy - QoE Pause mechanism h</w:t>
      </w:r>
      <w:r w:rsidR="002A4426" w:rsidRPr="002A4426">
        <w:t xml:space="preserve">as agreed </w:t>
      </w:r>
      <w:r>
        <w:t>to enable temporary suspension, it is user-centric solution disabling QoE reporting for some time for selected user.</w:t>
      </w:r>
    </w:p>
    <w:p w14:paraId="1E284B35" w14:textId="23EEA510" w:rsidR="00624C5C" w:rsidRPr="009C32B6" w:rsidRDefault="00624C5C" w:rsidP="00624C5C">
      <w:pPr>
        <w:jc w:val="both"/>
        <w:rPr>
          <w:b/>
          <w:bCs/>
        </w:rPr>
      </w:pPr>
      <w:r w:rsidRPr="009C32B6">
        <w:rPr>
          <w:b/>
          <w:bCs/>
        </w:rPr>
        <w:t xml:space="preserve">Observation </w:t>
      </w:r>
      <w:r w:rsidR="002B215B" w:rsidRPr="009C32B6">
        <w:rPr>
          <w:b/>
          <w:bCs/>
        </w:rPr>
        <w:t>6</w:t>
      </w:r>
      <w:r w:rsidRPr="009C32B6">
        <w:rPr>
          <w:b/>
          <w:bCs/>
        </w:rPr>
        <w:t>: In case of RAN overload, QoE Pause mechanism enables pausing all the QoE reports simultaneously.</w:t>
      </w:r>
    </w:p>
    <w:p w14:paraId="149A4CD3" w14:textId="5D4BB0F3" w:rsidR="00634172" w:rsidRDefault="008A0E5B" w:rsidP="002B215B">
      <w:pPr>
        <w:pStyle w:val="00BodyText"/>
        <w:spacing w:after="0"/>
      </w:pPr>
      <w:r w:rsidRPr="00815047">
        <w:rPr>
          <w:rFonts w:ascii="Times New Roman" w:hAnsi="Times New Roman"/>
          <w:sz w:val="20"/>
          <w:lang w:val="en-GB"/>
        </w:rPr>
        <w:t xml:space="preserve">Hence, </w:t>
      </w:r>
      <w:r w:rsidR="002B215B">
        <w:rPr>
          <w:rFonts w:ascii="Times New Roman" w:hAnsi="Times New Roman"/>
          <w:sz w:val="20"/>
          <w:lang w:val="en-GB"/>
        </w:rPr>
        <w:t xml:space="preserve">to achieve </w:t>
      </w:r>
      <w:r w:rsidRPr="00815047">
        <w:rPr>
          <w:rFonts w:ascii="Times New Roman" w:hAnsi="Times New Roman"/>
          <w:sz w:val="20"/>
          <w:lang w:val="en-GB"/>
        </w:rPr>
        <w:t>pausing</w:t>
      </w:r>
      <w:r w:rsidRPr="007D408F">
        <w:rPr>
          <w:rFonts w:ascii="Times New Roman" w:hAnsi="Times New Roman"/>
          <w:sz w:val="20"/>
          <w:lang w:val="en-GB"/>
        </w:rPr>
        <w:t xml:space="preserve"> of different QoE measurements configurations</w:t>
      </w:r>
      <w:r w:rsidR="002B215B">
        <w:rPr>
          <w:rFonts w:ascii="Times New Roman" w:hAnsi="Times New Roman"/>
          <w:sz w:val="20"/>
          <w:lang w:val="en-GB"/>
        </w:rPr>
        <w:t>,</w:t>
      </w:r>
      <w:r w:rsidRPr="007D408F">
        <w:rPr>
          <w:rFonts w:ascii="Times New Roman" w:hAnsi="Times New Roman"/>
          <w:sz w:val="20"/>
          <w:lang w:val="en-GB"/>
        </w:rPr>
        <w:t xml:space="preserve"> </w:t>
      </w:r>
      <w:r w:rsidR="002B215B" w:rsidRPr="00815047">
        <w:rPr>
          <w:rFonts w:ascii="Times New Roman" w:hAnsi="Times New Roman"/>
          <w:sz w:val="20"/>
          <w:lang w:val="en-GB"/>
        </w:rPr>
        <w:t xml:space="preserve">we </w:t>
      </w:r>
      <w:r w:rsidR="002B215B">
        <w:rPr>
          <w:rFonts w:ascii="Times New Roman" w:hAnsi="Times New Roman"/>
          <w:sz w:val="20"/>
          <w:lang w:val="en-GB"/>
        </w:rPr>
        <w:t>see</w:t>
      </w:r>
      <w:r w:rsidR="002B215B" w:rsidRPr="00815047">
        <w:rPr>
          <w:rFonts w:ascii="Times New Roman" w:hAnsi="Times New Roman"/>
          <w:sz w:val="20"/>
          <w:lang w:val="en-GB"/>
        </w:rPr>
        <w:t xml:space="preserve"> </w:t>
      </w:r>
      <w:r w:rsidR="002B215B" w:rsidRPr="002B215B">
        <w:rPr>
          <w:rFonts w:ascii="Times New Roman" w:hAnsi="Times New Roman"/>
          <w:sz w:val="20"/>
          <w:lang w:val="en-GB"/>
        </w:rPr>
        <w:t xml:space="preserve">an enhanced network management strategy may be needed. </w:t>
      </w:r>
      <w:r w:rsidR="00E6706C" w:rsidRPr="002B215B">
        <w:rPr>
          <w:rFonts w:ascii="Times New Roman" w:hAnsi="Times New Roman"/>
          <w:sz w:val="20"/>
          <w:lang w:val="en-GB"/>
        </w:rPr>
        <w:t xml:space="preserve">In </w:t>
      </w:r>
      <w:r w:rsidR="002B215B" w:rsidRPr="002B215B">
        <w:rPr>
          <w:rFonts w:ascii="Times New Roman" w:hAnsi="Times New Roman"/>
          <w:sz w:val="20"/>
          <w:lang w:val="en-GB"/>
        </w:rPr>
        <w:t xml:space="preserve">that </w:t>
      </w:r>
      <w:r w:rsidR="00E6706C" w:rsidRPr="002B215B">
        <w:rPr>
          <w:rFonts w:ascii="Times New Roman" w:hAnsi="Times New Roman"/>
          <w:sz w:val="20"/>
          <w:lang w:val="en-GB"/>
        </w:rPr>
        <w:t xml:space="preserve">case the RAN node should have an </w:t>
      </w:r>
      <w:r w:rsidR="00012F97" w:rsidRPr="002B215B">
        <w:rPr>
          <w:rFonts w:ascii="Times New Roman" w:hAnsi="Times New Roman"/>
          <w:sz w:val="20"/>
          <w:lang w:val="en-GB"/>
        </w:rPr>
        <w:t>additional capability</w:t>
      </w:r>
      <w:r w:rsidR="00E6706C" w:rsidRPr="002B215B">
        <w:rPr>
          <w:rFonts w:ascii="Times New Roman" w:hAnsi="Times New Roman"/>
          <w:sz w:val="20"/>
          <w:lang w:val="en-GB"/>
        </w:rPr>
        <w:t xml:space="preserve"> to know the QoE measurements (services) importance, </w:t>
      </w:r>
      <w:r w:rsidR="002B215B" w:rsidRPr="002B215B">
        <w:rPr>
          <w:rFonts w:ascii="Times New Roman" w:hAnsi="Times New Roman"/>
          <w:sz w:val="20"/>
          <w:lang w:val="en-GB"/>
        </w:rPr>
        <w:t xml:space="preserve">which remains in </w:t>
      </w:r>
      <w:r w:rsidR="00634172" w:rsidRPr="002B215B">
        <w:rPr>
          <w:rFonts w:ascii="Times New Roman" w:hAnsi="Times New Roman"/>
          <w:sz w:val="20"/>
          <w:lang w:val="en-GB"/>
        </w:rPr>
        <w:t xml:space="preserve">RAN3 </w:t>
      </w:r>
      <w:r w:rsidR="002B215B" w:rsidRPr="002B215B">
        <w:rPr>
          <w:rFonts w:ascii="Times New Roman" w:hAnsi="Times New Roman"/>
          <w:sz w:val="20"/>
          <w:lang w:val="en-GB"/>
        </w:rPr>
        <w:t>realm:</w:t>
      </w:r>
    </w:p>
    <w:p w14:paraId="3BD034A4" w14:textId="77777777" w:rsidR="002B215B" w:rsidRPr="00634172" w:rsidRDefault="002B215B" w:rsidP="002B215B">
      <w:pPr>
        <w:pStyle w:val="00BodyText"/>
        <w:spacing w:after="0"/>
        <w:rPr>
          <w:b/>
          <w:bCs/>
        </w:rPr>
      </w:pPr>
    </w:p>
    <w:p w14:paraId="0935B8F5" w14:textId="68F6B136" w:rsidR="00CE642C" w:rsidRPr="009C32B6" w:rsidRDefault="00CE642C" w:rsidP="008A0E5B">
      <w:pPr>
        <w:jc w:val="both"/>
        <w:rPr>
          <w:b/>
          <w:bCs/>
        </w:rPr>
      </w:pPr>
      <w:r w:rsidRPr="009C32B6">
        <w:rPr>
          <w:b/>
          <w:bCs/>
        </w:rPr>
        <w:t>Proposal</w:t>
      </w:r>
      <w:r w:rsidR="00634172" w:rsidRPr="009C32B6">
        <w:rPr>
          <w:b/>
          <w:bCs/>
        </w:rPr>
        <w:t xml:space="preserve"> </w:t>
      </w:r>
      <w:r w:rsidR="00213859">
        <w:rPr>
          <w:b/>
          <w:bCs/>
        </w:rPr>
        <w:t>3</w:t>
      </w:r>
      <w:r w:rsidRPr="009C32B6">
        <w:rPr>
          <w:b/>
          <w:bCs/>
        </w:rPr>
        <w:t xml:space="preserve">: </w:t>
      </w:r>
      <w:r w:rsidR="00634172" w:rsidRPr="009C32B6">
        <w:rPr>
          <w:b/>
          <w:bCs/>
        </w:rPr>
        <w:t xml:space="preserve">An enhanced QoE handling in RAN overload scenario </w:t>
      </w:r>
      <w:r w:rsidR="0061623A" w:rsidRPr="009C32B6">
        <w:rPr>
          <w:b/>
          <w:bCs/>
        </w:rPr>
        <w:t>can be considered only after RAN3</w:t>
      </w:r>
      <w:r w:rsidR="00634172" w:rsidRPr="009C32B6">
        <w:rPr>
          <w:b/>
          <w:bCs/>
        </w:rPr>
        <w:t xml:space="preserve"> input.</w:t>
      </w:r>
    </w:p>
    <w:p w14:paraId="0D110258" w14:textId="77777777" w:rsidR="00CD4C7B" w:rsidRPr="006E13D1" w:rsidRDefault="00972FD7" w:rsidP="00CD4C7B">
      <w:pPr>
        <w:pStyle w:val="Heading1"/>
      </w:pPr>
      <w:r>
        <w:t>3</w:t>
      </w:r>
      <w:r w:rsidR="00CD4C7B" w:rsidRPr="006E13D1">
        <w:tab/>
      </w:r>
      <w:r>
        <w:t>Conclusion</w:t>
      </w:r>
    </w:p>
    <w:p w14:paraId="61D7E234" w14:textId="77777777" w:rsidR="002B585B" w:rsidRPr="006E13D1" w:rsidRDefault="002B585B" w:rsidP="002B585B">
      <w:r>
        <w:t>This document has made the following observations:</w:t>
      </w:r>
    </w:p>
    <w:p w14:paraId="5A198186" w14:textId="77777777" w:rsidR="00810609" w:rsidRPr="00900B99" w:rsidRDefault="00810609" w:rsidP="00810609">
      <w:pPr>
        <w:rPr>
          <w:b/>
          <w:bCs/>
        </w:rPr>
      </w:pPr>
      <w:r w:rsidRPr="00900B99">
        <w:rPr>
          <w:b/>
          <w:bCs/>
        </w:rPr>
        <w:t>Observation 1: The identified Rel-17 leftovers concerned RAN visible QoE and RAN overload handling.</w:t>
      </w:r>
    </w:p>
    <w:p w14:paraId="1F8ADDF4" w14:textId="77777777" w:rsidR="00810609" w:rsidRPr="00344CEF" w:rsidRDefault="00810609" w:rsidP="00810609">
      <w:pPr>
        <w:rPr>
          <w:rFonts w:ascii="Courier New" w:hAnsi="Courier New"/>
          <w:b/>
          <w:bCs/>
          <w:noProof/>
          <w:sz w:val="16"/>
          <w:lang w:eastAsia="en-GB"/>
        </w:rPr>
      </w:pPr>
      <w:r w:rsidRPr="00344CEF">
        <w:rPr>
          <w:b/>
          <w:bCs/>
        </w:rPr>
        <w:t>Observation 2: RAN2 scope for RAN-visible QoE concerns evaluation of a gain vs complexity for event-based RAN visible QoE.</w:t>
      </w:r>
    </w:p>
    <w:p w14:paraId="2D719F2D" w14:textId="77777777" w:rsidR="00810609" w:rsidRPr="005A26DB" w:rsidRDefault="00810609" w:rsidP="00810609">
      <w:pPr>
        <w:rPr>
          <w:b/>
          <w:bCs/>
          <w:lang w:val="en-US" w:eastAsia="zh-CN"/>
        </w:rPr>
      </w:pPr>
      <w:r w:rsidRPr="005A26DB">
        <w:rPr>
          <w:b/>
          <w:bCs/>
          <w:lang w:val="en-US" w:eastAsia="zh-CN"/>
        </w:rPr>
        <w:t xml:space="preserve">Observation </w:t>
      </w:r>
      <w:r>
        <w:rPr>
          <w:b/>
          <w:bCs/>
          <w:lang w:val="en-US" w:eastAsia="zh-CN"/>
        </w:rPr>
        <w:t>3</w:t>
      </w:r>
      <w:r w:rsidRPr="005A26DB">
        <w:rPr>
          <w:b/>
          <w:bCs/>
          <w:lang w:val="en-US" w:eastAsia="zh-CN"/>
        </w:rPr>
        <w:t>: RAN is able to control QoE configurations</w:t>
      </w:r>
      <w:r>
        <w:rPr>
          <w:b/>
          <w:bCs/>
          <w:lang w:val="en-US" w:eastAsia="zh-CN"/>
        </w:rPr>
        <w:t xml:space="preserve"> (</w:t>
      </w:r>
      <w:r w:rsidRPr="00825416">
        <w:rPr>
          <w:b/>
          <w:bCs/>
          <w:lang w:val="en-US" w:eastAsia="zh-CN"/>
        </w:rPr>
        <w:t>e.g., change of periodicity</w:t>
      </w:r>
      <w:r>
        <w:rPr>
          <w:b/>
          <w:bCs/>
          <w:lang w:val="en-US" w:eastAsia="zh-CN"/>
        </w:rPr>
        <w:t>)</w:t>
      </w:r>
      <w:r w:rsidRPr="005A26DB">
        <w:rPr>
          <w:b/>
          <w:bCs/>
          <w:lang w:val="en-US" w:eastAsia="zh-CN"/>
        </w:rPr>
        <w:t xml:space="preserve"> to achieve sufficient filtering of the RAN visible QoE results. </w:t>
      </w:r>
    </w:p>
    <w:p w14:paraId="4235EE34" w14:textId="77777777" w:rsidR="00810609" w:rsidRPr="009C32B6" w:rsidRDefault="00810609" w:rsidP="00810609">
      <w:pPr>
        <w:pStyle w:val="00BodyText"/>
        <w:spacing w:after="0"/>
        <w:rPr>
          <w:rFonts w:ascii="Times New Roman" w:hAnsi="Times New Roman"/>
          <w:b/>
          <w:bCs/>
          <w:sz w:val="20"/>
          <w:lang w:val="en-GB"/>
        </w:rPr>
      </w:pPr>
      <w:r w:rsidRPr="009C32B6">
        <w:rPr>
          <w:rFonts w:ascii="Times New Roman" w:hAnsi="Times New Roman"/>
          <w:b/>
          <w:bCs/>
          <w:sz w:val="20"/>
          <w:lang w:val="en-GB"/>
        </w:rPr>
        <w:t>Observation 4: The UE cannot have a clear view on which QoE configuration/reporting has greater importance in RAN overload.</w:t>
      </w:r>
    </w:p>
    <w:p w14:paraId="2A0015DC" w14:textId="77777777" w:rsidR="00810609" w:rsidRPr="009C32B6" w:rsidRDefault="00810609" w:rsidP="00810609">
      <w:pPr>
        <w:jc w:val="both"/>
        <w:rPr>
          <w:b/>
          <w:bCs/>
        </w:rPr>
      </w:pPr>
      <w:r w:rsidRPr="009C32B6">
        <w:rPr>
          <w:b/>
          <w:bCs/>
        </w:rPr>
        <w:t>Observation 5: In case of RAN overload, the released QoE configuration and temporarily paused QoE reporting may have an adverse effect on QoE management and outcome.</w:t>
      </w:r>
    </w:p>
    <w:p w14:paraId="60537203" w14:textId="5AD15643" w:rsidR="00810609" w:rsidRDefault="00810609" w:rsidP="00B22FFF">
      <w:pPr>
        <w:jc w:val="both"/>
        <w:rPr>
          <w:b/>
          <w:bCs/>
        </w:rPr>
      </w:pPr>
      <w:r w:rsidRPr="009C32B6">
        <w:rPr>
          <w:b/>
          <w:bCs/>
        </w:rPr>
        <w:t>Observation</w:t>
      </w:r>
      <w:r w:rsidR="00B22FFF" w:rsidRPr="009C32B6">
        <w:rPr>
          <w:b/>
          <w:bCs/>
        </w:rPr>
        <w:t xml:space="preserve"> </w:t>
      </w:r>
      <w:r w:rsidRPr="009C32B6">
        <w:rPr>
          <w:b/>
          <w:bCs/>
        </w:rPr>
        <w:t>6: In case of RAN overload, QoE Pause mechanism enables pausing all the QoE reports simultaneously.</w:t>
      </w:r>
    </w:p>
    <w:p w14:paraId="50F886C9" w14:textId="77777777" w:rsidR="00B22FFF" w:rsidRPr="004F4540" w:rsidRDefault="00B22FFF" w:rsidP="00B22FFF">
      <w:pPr>
        <w:rPr>
          <w:bCs/>
        </w:rPr>
      </w:pPr>
      <w:r>
        <w:rPr>
          <w:bCs/>
        </w:rPr>
        <w:t>And proposed the following:</w:t>
      </w:r>
    </w:p>
    <w:p w14:paraId="6FA544F9" w14:textId="77777777" w:rsidR="00810609" w:rsidRDefault="00810609" w:rsidP="00810609">
      <w:pPr>
        <w:rPr>
          <w:b/>
          <w:bCs/>
          <w:lang w:val="en-US" w:eastAsia="zh-CN"/>
        </w:rPr>
      </w:pPr>
      <w:r>
        <w:rPr>
          <w:b/>
          <w:bCs/>
          <w:lang w:val="en-US" w:eastAsia="zh-CN"/>
        </w:rPr>
        <w:lastRenderedPageBreak/>
        <w:t xml:space="preserve">Proposal 1: </w:t>
      </w:r>
      <w:r w:rsidRPr="002F2A55">
        <w:rPr>
          <w:b/>
          <w:bCs/>
          <w:lang w:val="en-US" w:eastAsia="zh-CN"/>
        </w:rPr>
        <w:t>Event-based triggers for RAN visible QoE are not supported in Rel- 18</w:t>
      </w:r>
      <w:r>
        <w:rPr>
          <w:b/>
          <w:bCs/>
          <w:lang w:val="en-US" w:eastAsia="zh-CN"/>
        </w:rPr>
        <w:t>.</w:t>
      </w:r>
    </w:p>
    <w:p w14:paraId="32540137" w14:textId="6DE2C946" w:rsidR="00810609" w:rsidRPr="002F2A55" w:rsidRDefault="00810609" w:rsidP="00810609">
      <w:pPr>
        <w:rPr>
          <w:b/>
          <w:bCs/>
          <w:lang w:val="en-US" w:eastAsia="zh-CN"/>
        </w:rPr>
      </w:pPr>
      <w:r>
        <w:rPr>
          <w:b/>
          <w:bCs/>
          <w:lang w:val="en-US" w:eastAsia="zh-CN"/>
        </w:rPr>
        <w:t>Proposal 2: To achieve controlling of RV-QOE report in air interface RAN2 can further investigate to control RAN Visible reporting periodicity in UE AS layer.</w:t>
      </w:r>
    </w:p>
    <w:p w14:paraId="7C49B5CD" w14:textId="77777777" w:rsidR="00810609" w:rsidRPr="009C32B6" w:rsidRDefault="00810609" w:rsidP="00810609">
      <w:pPr>
        <w:jc w:val="both"/>
        <w:rPr>
          <w:b/>
          <w:bCs/>
        </w:rPr>
      </w:pPr>
      <w:r w:rsidRPr="009C32B6">
        <w:rPr>
          <w:b/>
          <w:bCs/>
        </w:rPr>
        <w:t xml:space="preserve">Proposal </w:t>
      </w:r>
      <w:r>
        <w:rPr>
          <w:b/>
          <w:bCs/>
        </w:rPr>
        <w:t>3</w:t>
      </w:r>
      <w:r w:rsidRPr="009C32B6">
        <w:rPr>
          <w:b/>
          <w:bCs/>
        </w:rPr>
        <w:t>: An enhanced QoE handling in RAN overload scenario can be considered only after RAN3 input.</w:t>
      </w:r>
    </w:p>
    <w:p w14:paraId="0BA2BD6A" w14:textId="23F9D41E" w:rsidR="00080512" w:rsidRPr="00CD4C7B" w:rsidRDefault="00080512" w:rsidP="00E6706C">
      <w:pPr>
        <w:jc w:val="both"/>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F1A6" w14:textId="77777777" w:rsidR="002D63FA" w:rsidRDefault="002D63FA">
      <w:r>
        <w:separator/>
      </w:r>
    </w:p>
  </w:endnote>
  <w:endnote w:type="continuationSeparator" w:id="0">
    <w:p w14:paraId="7F64463A" w14:textId="77777777" w:rsidR="002D63FA" w:rsidRDefault="002D63FA">
      <w:r>
        <w:continuationSeparator/>
      </w:r>
    </w:p>
  </w:endnote>
  <w:endnote w:type="continuationNotice" w:id="1">
    <w:p w14:paraId="70C19C85" w14:textId="77777777" w:rsidR="002D63FA" w:rsidRDefault="002D6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9756" w14:textId="77777777" w:rsidR="002D63FA" w:rsidRDefault="002D63FA">
      <w:r>
        <w:separator/>
      </w:r>
    </w:p>
  </w:footnote>
  <w:footnote w:type="continuationSeparator" w:id="0">
    <w:p w14:paraId="38645DF9" w14:textId="77777777" w:rsidR="002D63FA" w:rsidRDefault="002D63FA">
      <w:r>
        <w:continuationSeparator/>
      </w:r>
    </w:p>
  </w:footnote>
  <w:footnote w:type="continuationNotice" w:id="1">
    <w:p w14:paraId="2EAD972F" w14:textId="77777777" w:rsidR="002D63FA" w:rsidRDefault="002D6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EmailDiscussion"/>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E43268"/>
    <w:multiLevelType w:val="multilevel"/>
    <w:tmpl w:val="00C8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26F51"/>
    <w:multiLevelType w:val="hybridMultilevel"/>
    <w:tmpl w:val="7ED29E64"/>
    <w:lvl w:ilvl="0" w:tplc="3076A05E">
      <w:start w:val="1"/>
      <w:numFmt w:val="decimal"/>
      <w:lvlText w:val="Proposal %1:"/>
      <w:lvlJc w:val="left"/>
      <w:pPr>
        <w:ind w:left="420" w:hanging="42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A515D4F"/>
    <w:multiLevelType w:val="multilevel"/>
    <w:tmpl w:val="B930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77045E"/>
    <w:multiLevelType w:val="multilevel"/>
    <w:tmpl w:val="8674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A50ECA"/>
    <w:multiLevelType w:val="hybridMultilevel"/>
    <w:tmpl w:val="E60AB638"/>
    <w:lvl w:ilvl="0" w:tplc="88AEE7EC">
      <w:start w:val="1"/>
      <w:numFmt w:val="decimal"/>
      <w:lvlText w:val="%1)"/>
      <w:lvlJc w:val="left"/>
      <w:pPr>
        <w:ind w:left="720" w:hanging="360"/>
      </w:pPr>
      <w:rPr>
        <w:rFonts w:ascii="Times New Roman" w:eastAsia="Malgun Gothic" w:hAnsi="Times New Roman" w:cs="Times New Roman"/>
      </w:rPr>
    </w:lvl>
    <w:lvl w:ilvl="1" w:tplc="20EA1934">
      <w:start w:val="1"/>
      <w:numFmt w:val="lowerLetter"/>
      <w:lvlText w:val="%2."/>
      <w:lvlJc w:val="left"/>
      <w:pPr>
        <w:ind w:left="1440" w:hanging="360"/>
      </w:pPr>
      <w:rPr>
        <w:rFonts w:ascii="Times New Roman" w:eastAsia="Malgun Gothic"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B97831"/>
    <w:multiLevelType w:val="hybridMultilevel"/>
    <w:tmpl w:val="84321006"/>
    <w:lvl w:ilvl="0" w:tplc="94C85F18">
      <w:start w:val="2"/>
      <w:numFmt w:val="bullet"/>
      <w:lvlText w:val="-"/>
      <w:lvlJc w:val="left"/>
      <w:pPr>
        <w:ind w:left="720" w:hanging="360"/>
      </w:pPr>
      <w:rPr>
        <w:rFonts w:ascii="Times New Roman" w:eastAsia="Times New Roman" w:hAnsi="Times New Roman" w:cs="Times New Roman"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1F516A"/>
    <w:multiLevelType w:val="multilevel"/>
    <w:tmpl w:val="2D08D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D63E8C"/>
    <w:multiLevelType w:val="multilevel"/>
    <w:tmpl w:val="7864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373E82"/>
    <w:multiLevelType w:val="multilevel"/>
    <w:tmpl w:val="8942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F70473"/>
    <w:multiLevelType w:val="multilevel"/>
    <w:tmpl w:val="A926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pStyle w:val="EmailDiscussio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EmailDiscussion"/>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3"/>
  </w:num>
  <w:num w:numId="7">
    <w:abstractNumId w:val="1"/>
  </w:num>
  <w:num w:numId="8">
    <w:abstractNumId w:val="14"/>
  </w:num>
  <w:num w:numId="9">
    <w:abstractNumId w:val="12"/>
  </w:num>
  <w:num w:numId="10">
    <w:abstractNumId w:val="17"/>
  </w:num>
  <w:num w:numId="11">
    <w:abstractNumId w:val="18"/>
  </w:num>
  <w:num w:numId="12">
    <w:abstractNumId w:val="16"/>
  </w:num>
  <w:num w:numId="13">
    <w:abstractNumId w:val="4"/>
  </w:num>
  <w:num w:numId="14">
    <w:abstractNumId w:val="7"/>
  </w:num>
  <w:num w:numId="15">
    <w:abstractNumId w:val="6"/>
  </w:num>
  <w:num w:numId="16">
    <w:abstractNumId w:val="15"/>
  </w:num>
  <w:num w:numId="17">
    <w:abstractNumId w:val="9"/>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F97"/>
    <w:rsid w:val="0001606D"/>
    <w:rsid w:val="000167FD"/>
    <w:rsid w:val="00017254"/>
    <w:rsid w:val="00020082"/>
    <w:rsid w:val="00033397"/>
    <w:rsid w:val="000342C7"/>
    <w:rsid w:val="00040095"/>
    <w:rsid w:val="00044848"/>
    <w:rsid w:val="0005563E"/>
    <w:rsid w:val="00071C8B"/>
    <w:rsid w:val="00080512"/>
    <w:rsid w:val="00083F0D"/>
    <w:rsid w:val="000B7BCF"/>
    <w:rsid w:val="000C556D"/>
    <w:rsid w:val="000D10B9"/>
    <w:rsid w:val="000D376D"/>
    <w:rsid w:val="000D58AB"/>
    <w:rsid w:val="000E14F3"/>
    <w:rsid w:val="000F1990"/>
    <w:rsid w:val="000F76D6"/>
    <w:rsid w:val="001075B7"/>
    <w:rsid w:val="001370F2"/>
    <w:rsid w:val="00142CAC"/>
    <w:rsid w:val="001549DD"/>
    <w:rsid w:val="001705BE"/>
    <w:rsid w:val="00175A0A"/>
    <w:rsid w:val="0018036F"/>
    <w:rsid w:val="00194CD0"/>
    <w:rsid w:val="001B08B3"/>
    <w:rsid w:val="001C4281"/>
    <w:rsid w:val="001D0D3F"/>
    <w:rsid w:val="001E39D1"/>
    <w:rsid w:val="001F168B"/>
    <w:rsid w:val="001F3CBA"/>
    <w:rsid w:val="001F70B7"/>
    <w:rsid w:val="00213859"/>
    <w:rsid w:val="00225F6D"/>
    <w:rsid w:val="0022606D"/>
    <w:rsid w:val="002305DD"/>
    <w:rsid w:val="00243BC7"/>
    <w:rsid w:val="0025005C"/>
    <w:rsid w:val="002555D6"/>
    <w:rsid w:val="0025691B"/>
    <w:rsid w:val="002623FC"/>
    <w:rsid w:val="002747EC"/>
    <w:rsid w:val="002855BF"/>
    <w:rsid w:val="002953B2"/>
    <w:rsid w:val="002977EB"/>
    <w:rsid w:val="002A4426"/>
    <w:rsid w:val="002B215B"/>
    <w:rsid w:val="002B3C09"/>
    <w:rsid w:val="002B481E"/>
    <w:rsid w:val="002B585B"/>
    <w:rsid w:val="002B7411"/>
    <w:rsid w:val="002D63FA"/>
    <w:rsid w:val="002E1692"/>
    <w:rsid w:val="002E4FB0"/>
    <w:rsid w:val="002F0D22"/>
    <w:rsid w:val="002F2A55"/>
    <w:rsid w:val="003172DC"/>
    <w:rsid w:val="00320EE1"/>
    <w:rsid w:val="00326069"/>
    <w:rsid w:val="0033723E"/>
    <w:rsid w:val="00344CEF"/>
    <w:rsid w:val="003454FC"/>
    <w:rsid w:val="00345A3A"/>
    <w:rsid w:val="0035462D"/>
    <w:rsid w:val="00357D7A"/>
    <w:rsid w:val="00363177"/>
    <w:rsid w:val="003702F7"/>
    <w:rsid w:val="003B3FB3"/>
    <w:rsid w:val="003C4E37"/>
    <w:rsid w:val="003C7411"/>
    <w:rsid w:val="003E1194"/>
    <w:rsid w:val="003E16BE"/>
    <w:rsid w:val="003E6E8F"/>
    <w:rsid w:val="003E7223"/>
    <w:rsid w:val="00401855"/>
    <w:rsid w:val="004059C7"/>
    <w:rsid w:val="00406BCB"/>
    <w:rsid w:val="0042207E"/>
    <w:rsid w:val="00434A39"/>
    <w:rsid w:val="00464695"/>
    <w:rsid w:val="004763E4"/>
    <w:rsid w:val="004768B0"/>
    <w:rsid w:val="00484AAD"/>
    <w:rsid w:val="004C3704"/>
    <w:rsid w:val="004C5539"/>
    <w:rsid w:val="004D2EF4"/>
    <w:rsid w:val="004D3578"/>
    <w:rsid w:val="004D380D"/>
    <w:rsid w:val="004D3F58"/>
    <w:rsid w:val="004D5E47"/>
    <w:rsid w:val="004E213A"/>
    <w:rsid w:val="004E21FC"/>
    <w:rsid w:val="004E5D27"/>
    <w:rsid w:val="004F4E04"/>
    <w:rsid w:val="00503171"/>
    <w:rsid w:val="005153FE"/>
    <w:rsid w:val="005240A4"/>
    <w:rsid w:val="00531C12"/>
    <w:rsid w:val="00534DA0"/>
    <w:rsid w:val="00540B31"/>
    <w:rsid w:val="00543E6C"/>
    <w:rsid w:val="00544635"/>
    <w:rsid w:val="005640CC"/>
    <w:rsid w:val="00565087"/>
    <w:rsid w:val="0056573F"/>
    <w:rsid w:val="00565BE9"/>
    <w:rsid w:val="00565C39"/>
    <w:rsid w:val="00571CE2"/>
    <w:rsid w:val="0057648B"/>
    <w:rsid w:val="00580252"/>
    <w:rsid w:val="005A26DB"/>
    <w:rsid w:val="005A4971"/>
    <w:rsid w:val="005B1232"/>
    <w:rsid w:val="005B2EEF"/>
    <w:rsid w:val="005D4274"/>
    <w:rsid w:val="00605E3E"/>
    <w:rsid w:val="00606DA9"/>
    <w:rsid w:val="00611566"/>
    <w:rsid w:val="00611D47"/>
    <w:rsid w:val="0061623A"/>
    <w:rsid w:val="00620822"/>
    <w:rsid w:val="00624C5C"/>
    <w:rsid w:val="00626CC4"/>
    <w:rsid w:val="00634172"/>
    <w:rsid w:val="0063556C"/>
    <w:rsid w:val="0065036B"/>
    <w:rsid w:val="0065247A"/>
    <w:rsid w:val="00656E1E"/>
    <w:rsid w:val="006604E4"/>
    <w:rsid w:val="00660754"/>
    <w:rsid w:val="00687F82"/>
    <w:rsid w:val="00691604"/>
    <w:rsid w:val="006A5BE6"/>
    <w:rsid w:val="006B36A5"/>
    <w:rsid w:val="006C50A6"/>
    <w:rsid w:val="006C54B5"/>
    <w:rsid w:val="006D1E24"/>
    <w:rsid w:val="006D6A81"/>
    <w:rsid w:val="006E3B76"/>
    <w:rsid w:val="006F4FEA"/>
    <w:rsid w:val="0070182A"/>
    <w:rsid w:val="00702BDF"/>
    <w:rsid w:val="007209F9"/>
    <w:rsid w:val="00734A5B"/>
    <w:rsid w:val="00741EC5"/>
    <w:rsid w:val="00742394"/>
    <w:rsid w:val="00743525"/>
    <w:rsid w:val="007446A5"/>
    <w:rsid w:val="00744E76"/>
    <w:rsid w:val="007476DB"/>
    <w:rsid w:val="00757D40"/>
    <w:rsid w:val="00770400"/>
    <w:rsid w:val="00771903"/>
    <w:rsid w:val="00774846"/>
    <w:rsid w:val="00781F0F"/>
    <w:rsid w:val="0078727C"/>
    <w:rsid w:val="0079300E"/>
    <w:rsid w:val="00797D4B"/>
    <w:rsid w:val="007C095F"/>
    <w:rsid w:val="007C6549"/>
    <w:rsid w:val="007D5902"/>
    <w:rsid w:val="007F2676"/>
    <w:rsid w:val="008011AD"/>
    <w:rsid w:val="00802106"/>
    <w:rsid w:val="008028A4"/>
    <w:rsid w:val="00806520"/>
    <w:rsid w:val="00810609"/>
    <w:rsid w:val="00815047"/>
    <w:rsid w:val="00820265"/>
    <w:rsid w:val="00825416"/>
    <w:rsid w:val="00825D83"/>
    <w:rsid w:val="00830106"/>
    <w:rsid w:val="00840916"/>
    <w:rsid w:val="00853EDD"/>
    <w:rsid w:val="008604EE"/>
    <w:rsid w:val="0086119F"/>
    <w:rsid w:val="00866A69"/>
    <w:rsid w:val="0087401D"/>
    <w:rsid w:val="00874C2D"/>
    <w:rsid w:val="008768CA"/>
    <w:rsid w:val="00880559"/>
    <w:rsid w:val="008A0E5B"/>
    <w:rsid w:val="008C2835"/>
    <w:rsid w:val="008C3C26"/>
    <w:rsid w:val="008C490B"/>
    <w:rsid w:val="00900B99"/>
    <w:rsid w:val="0090271F"/>
    <w:rsid w:val="00903D8C"/>
    <w:rsid w:val="00912236"/>
    <w:rsid w:val="00926D8B"/>
    <w:rsid w:val="00934731"/>
    <w:rsid w:val="00942EC2"/>
    <w:rsid w:val="009541E7"/>
    <w:rsid w:val="00954BCB"/>
    <w:rsid w:val="00961B32"/>
    <w:rsid w:val="00971683"/>
    <w:rsid w:val="00972FD7"/>
    <w:rsid w:val="00974BB0"/>
    <w:rsid w:val="0098227A"/>
    <w:rsid w:val="00986671"/>
    <w:rsid w:val="009961A9"/>
    <w:rsid w:val="009A3D80"/>
    <w:rsid w:val="009A6E4F"/>
    <w:rsid w:val="009B51C9"/>
    <w:rsid w:val="009B7476"/>
    <w:rsid w:val="009C32B6"/>
    <w:rsid w:val="009C475D"/>
    <w:rsid w:val="009C4D5C"/>
    <w:rsid w:val="009D0A28"/>
    <w:rsid w:val="009E4E9E"/>
    <w:rsid w:val="009F3B54"/>
    <w:rsid w:val="009F7E6E"/>
    <w:rsid w:val="00A030A6"/>
    <w:rsid w:val="00A10F02"/>
    <w:rsid w:val="00A42F3C"/>
    <w:rsid w:val="00A53724"/>
    <w:rsid w:val="00A70967"/>
    <w:rsid w:val="00A814E6"/>
    <w:rsid w:val="00A82346"/>
    <w:rsid w:val="00A8361A"/>
    <w:rsid w:val="00A9671C"/>
    <w:rsid w:val="00AB1474"/>
    <w:rsid w:val="00AB6AAB"/>
    <w:rsid w:val="00AC7257"/>
    <w:rsid w:val="00AD4BCF"/>
    <w:rsid w:val="00AD6E50"/>
    <w:rsid w:val="00AF4A8E"/>
    <w:rsid w:val="00AF78D5"/>
    <w:rsid w:val="00B1063A"/>
    <w:rsid w:val="00B12308"/>
    <w:rsid w:val="00B15449"/>
    <w:rsid w:val="00B21241"/>
    <w:rsid w:val="00B22FFF"/>
    <w:rsid w:val="00B3245B"/>
    <w:rsid w:val="00B35A97"/>
    <w:rsid w:val="00B6029F"/>
    <w:rsid w:val="00B61EF1"/>
    <w:rsid w:val="00B819D9"/>
    <w:rsid w:val="00B9781E"/>
    <w:rsid w:val="00BA21C5"/>
    <w:rsid w:val="00BB384B"/>
    <w:rsid w:val="00BC1993"/>
    <w:rsid w:val="00BC72F6"/>
    <w:rsid w:val="00BE2741"/>
    <w:rsid w:val="00BF79F1"/>
    <w:rsid w:val="00C03035"/>
    <w:rsid w:val="00C03F71"/>
    <w:rsid w:val="00C22CE2"/>
    <w:rsid w:val="00C275BC"/>
    <w:rsid w:val="00C33079"/>
    <w:rsid w:val="00C365F1"/>
    <w:rsid w:val="00C43B31"/>
    <w:rsid w:val="00C50536"/>
    <w:rsid w:val="00C55EB7"/>
    <w:rsid w:val="00C651EF"/>
    <w:rsid w:val="00C914F3"/>
    <w:rsid w:val="00C96D9D"/>
    <w:rsid w:val="00CA3D0C"/>
    <w:rsid w:val="00CB6651"/>
    <w:rsid w:val="00CB6887"/>
    <w:rsid w:val="00CD4160"/>
    <w:rsid w:val="00CD4C7B"/>
    <w:rsid w:val="00CE642C"/>
    <w:rsid w:val="00D22038"/>
    <w:rsid w:val="00D24E3C"/>
    <w:rsid w:val="00D45717"/>
    <w:rsid w:val="00D6502E"/>
    <w:rsid w:val="00D738D6"/>
    <w:rsid w:val="00D80795"/>
    <w:rsid w:val="00D87E00"/>
    <w:rsid w:val="00D908B4"/>
    <w:rsid w:val="00D9134D"/>
    <w:rsid w:val="00D97CD9"/>
    <w:rsid w:val="00DA7A03"/>
    <w:rsid w:val="00DB1818"/>
    <w:rsid w:val="00DC0473"/>
    <w:rsid w:val="00DC2C63"/>
    <w:rsid w:val="00DC309B"/>
    <w:rsid w:val="00DC4DA2"/>
    <w:rsid w:val="00DD6699"/>
    <w:rsid w:val="00DE1406"/>
    <w:rsid w:val="00DE343E"/>
    <w:rsid w:val="00DF553B"/>
    <w:rsid w:val="00E07838"/>
    <w:rsid w:val="00E24092"/>
    <w:rsid w:val="00E33FD7"/>
    <w:rsid w:val="00E340BC"/>
    <w:rsid w:val="00E51F8B"/>
    <w:rsid w:val="00E62835"/>
    <w:rsid w:val="00E6706C"/>
    <w:rsid w:val="00E77645"/>
    <w:rsid w:val="00E852FF"/>
    <w:rsid w:val="00E90ABE"/>
    <w:rsid w:val="00EA1D56"/>
    <w:rsid w:val="00EA22F8"/>
    <w:rsid w:val="00EC4A25"/>
    <w:rsid w:val="00EE0A1E"/>
    <w:rsid w:val="00F025A2"/>
    <w:rsid w:val="00F2026E"/>
    <w:rsid w:val="00F2210A"/>
    <w:rsid w:val="00F37743"/>
    <w:rsid w:val="00F413A9"/>
    <w:rsid w:val="00F546B0"/>
    <w:rsid w:val="00F54A3D"/>
    <w:rsid w:val="00F64FD0"/>
    <w:rsid w:val="00F653B8"/>
    <w:rsid w:val="00F76F8F"/>
    <w:rsid w:val="00F904F2"/>
    <w:rsid w:val="00F95A93"/>
    <w:rsid w:val="00FA1266"/>
    <w:rsid w:val="00FB2BEA"/>
    <w:rsid w:val="00FC1192"/>
    <w:rsid w:val="00FC53BF"/>
    <w:rsid w:val="00FC6713"/>
    <w:rsid w:val="00FD214F"/>
    <w:rsid w:val="00FF44BD"/>
    <w:rsid w:val="00FF4BAA"/>
    <w:rsid w:val="00FF7BCD"/>
    <w:rsid w:val="1FEF095A"/>
    <w:rsid w:val="474C35CA"/>
    <w:rsid w:val="4ECFAC77"/>
    <w:rsid w:val="5B2ECC7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hAnsi="Calibri" w:cs="Calibri"/>
      <w:kern w:val="2"/>
      <w:sz w:val="21"/>
      <w:szCs w:val="21"/>
      <w:lang w:val="en-US" w:eastAsia="zh-CN"/>
    </w:rPr>
  </w:style>
  <w:style w:type="paragraph" w:customStyle="1" w:styleId="paragraph">
    <w:name w:val="paragraph"/>
    <w:basedOn w:val="Normal"/>
    <w:rsid w:val="0061623A"/>
    <w:pPr>
      <w:spacing w:before="100" w:beforeAutospacing="1" w:after="100" w:afterAutospacing="1"/>
    </w:pPr>
    <w:rPr>
      <w:sz w:val="24"/>
      <w:szCs w:val="24"/>
      <w:lang w:eastAsia="en-GB"/>
    </w:rPr>
  </w:style>
  <w:style w:type="character" w:customStyle="1" w:styleId="normaltextrun">
    <w:name w:val="normaltextrun"/>
    <w:basedOn w:val="DefaultParagraphFont"/>
    <w:rsid w:val="0061623A"/>
  </w:style>
  <w:style w:type="character" w:customStyle="1" w:styleId="tabchar">
    <w:name w:val="tabchar"/>
    <w:basedOn w:val="DefaultParagraphFont"/>
    <w:rsid w:val="0061623A"/>
  </w:style>
  <w:style w:type="character" w:customStyle="1" w:styleId="eop">
    <w:name w:val="eop"/>
    <w:basedOn w:val="DefaultParagraphFont"/>
    <w:rsid w:val="0061623A"/>
  </w:style>
  <w:style w:type="character" w:customStyle="1" w:styleId="EmailDiscussionChar">
    <w:name w:val="EmailDiscussion Char"/>
    <w:link w:val="EmailDiscussion"/>
    <w:rsid w:val="002977EB"/>
    <w:rPr>
      <w:rFonts w:ascii="Arial" w:hAnsi="Arial"/>
      <w:b/>
      <w:szCs w:val="24"/>
      <w:lang w:val="en-GB" w:eastAsia="en-GB"/>
    </w:rPr>
  </w:style>
  <w:style w:type="paragraph" w:customStyle="1" w:styleId="EmailDiscussion">
    <w:name w:val="EmailDiscussion"/>
    <w:basedOn w:val="Normal"/>
    <w:next w:val="Normal"/>
    <w:link w:val="EmailDiscussionChar"/>
    <w:qFormat/>
    <w:rsid w:val="002977EB"/>
    <w:pPr>
      <w:numPr>
        <w:numId w:val="1"/>
      </w:numPr>
      <w:tabs>
        <w:tab w:val="left" w:pos="1619"/>
      </w:tabs>
      <w:spacing w:before="40" w:after="0"/>
    </w:pPr>
    <w:rPr>
      <w:rFonts w:ascii="Arial" w:hAnsi="Arial"/>
      <w:b/>
      <w:szCs w:val="24"/>
      <w:lang w:eastAsia="en-GB"/>
    </w:rPr>
  </w:style>
  <w:style w:type="paragraph" w:customStyle="1" w:styleId="Doc-text2">
    <w:name w:val="Doc-text2"/>
    <w:basedOn w:val="Normal"/>
    <w:link w:val="Doc-text2Char"/>
    <w:qFormat/>
    <w:rsid w:val="00FD21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214F"/>
    <w:rPr>
      <w:rFonts w:ascii="Arial" w:eastAsia="MS Mincho" w:hAnsi="Arial"/>
      <w:szCs w:val="24"/>
      <w:lang w:val="en-GB" w:eastAsia="en-GB"/>
    </w:rPr>
  </w:style>
  <w:style w:type="paragraph" w:customStyle="1" w:styleId="Agreement">
    <w:name w:val="Agreement"/>
    <w:basedOn w:val="Normal"/>
    <w:next w:val="Doc-text2"/>
    <w:uiPriority w:val="99"/>
    <w:qFormat/>
    <w:rsid w:val="00FD214F"/>
    <w:pPr>
      <w:numPr>
        <w:numId w:val="16"/>
      </w:numPr>
      <w:spacing w:before="60" w:after="0"/>
    </w:pPr>
    <w:rPr>
      <w:rFonts w:ascii="Arial" w:eastAsia="MS Mincho" w:hAnsi="Arial"/>
      <w:b/>
      <w:szCs w:val="24"/>
      <w:lang w:eastAsia="en-GB"/>
    </w:rPr>
  </w:style>
  <w:style w:type="paragraph" w:customStyle="1" w:styleId="ListParagraph3">
    <w:name w:val="List Paragraph3"/>
    <w:basedOn w:val="Normal"/>
    <w:rsid w:val="0063556C"/>
    <w:pPr>
      <w:spacing w:before="100" w:beforeAutospacing="1"/>
      <w:ind w:left="720"/>
      <w:contextualSpacing/>
    </w:pPr>
    <w:rPr>
      <w:sz w:val="24"/>
      <w:szCs w:val="24"/>
      <w:lang w:val="en-US" w:eastAsia="zh-CN"/>
    </w:rPr>
  </w:style>
  <w:style w:type="character" w:customStyle="1" w:styleId="PLChar">
    <w:name w:val="PL Char"/>
    <w:link w:val="PL"/>
    <w:qFormat/>
    <w:rsid w:val="00F904F2"/>
    <w:rPr>
      <w:rFonts w:ascii="Courier New" w:hAnsi="Courier New"/>
      <w:noProof/>
      <w:sz w:val="1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04F2"/>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04F2"/>
    <w:pPr>
      <w:spacing w:after="120"/>
      <w:jc w:val="both"/>
    </w:pPr>
    <w:rPr>
      <w:rFonts w:ascii="MS Mincho" w:eastAsia="MS Mincho" w:hAnsi="MS Mincho"/>
      <w:szCs w:val="24"/>
      <w:lang w:val="fr-FR"/>
    </w:rPr>
  </w:style>
  <w:style w:type="character" w:customStyle="1" w:styleId="BodyTextChar1">
    <w:name w:val="Body Text Char1"/>
    <w:basedOn w:val="DefaultParagraphFont"/>
    <w:rsid w:val="00F904F2"/>
    <w:rPr>
      <w:lang w:val="en-GB" w:eastAsia="en-US"/>
    </w:rPr>
  </w:style>
  <w:style w:type="character" w:styleId="FollowedHyperlink">
    <w:name w:val="FollowedHyperlink"/>
    <w:basedOn w:val="DefaultParagraphFont"/>
    <w:rsid w:val="0086119F"/>
    <w:rPr>
      <w:color w:val="954F72" w:themeColor="followedHyperlink"/>
      <w:u w:val="single"/>
    </w:rPr>
  </w:style>
  <w:style w:type="character" w:styleId="CommentReference">
    <w:name w:val="annotation reference"/>
    <w:basedOn w:val="DefaultParagraphFont"/>
    <w:rsid w:val="002B481E"/>
    <w:rPr>
      <w:sz w:val="16"/>
      <w:szCs w:val="16"/>
    </w:rPr>
  </w:style>
  <w:style w:type="paragraph" w:styleId="CommentText">
    <w:name w:val="annotation text"/>
    <w:basedOn w:val="Normal"/>
    <w:link w:val="CommentTextChar"/>
    <w:rsid w:val="002B481E"/>
  </w:style>
  <w:style w:type="character" w:customStyle="1" w:styleId="CommentTextChar">
    <w:name w:val="Comment Text Char"/>
    <w:basedOn w:val="DefaultParagraphFont"/>
    <w:link w:val="CommentText"/>
    <w:rsid w:val="002B481E"/>
    <w:rPr>
      <w:lang w:val="en-GB" w:eastAsia="en-US"/>
    </w:rPr>
  </w:style>
  <w:style w:type="paragraph" w:styleId="CommentSubject">
    <w:name w:val="annotation subject"/>
    <w:basedOn w:val="CommentText"/>
    <w:next w:val="CommentText"/>
    <w:link w:val="CommentSubjectChar"/>
    <w:rsid w:val="002B481E"/>
    <w:rPr>
      <w:b/>
      <w:bCs/>
    </w:rPr>
  </w:style>
  <w:style w:type="character" w:customStyle="1" w:styleId="CommentSubjectChar">
    <w:name w:val="Comment Subject Char"/>
    <w:basedOn w:val="CommentTextChar"/>
    <w:link w:val="CommentSubject"/>
    <w:rsid w:val="002B481E"/>
    <w:rPr>
      <w:b/>
      <w:bCs/>
      <w:lang w:val="en-GB" w:eastAsia="en-US"/>
    </w:rPr>
  </w:style>
  <w:style w:type="character" w:styleId="Mention">
    <w:name w:val="Mention"/>
    <w:basedOn w:val="DefaultParagraphFont"/>
    <w:uiPriority w:val="99"/>
    <w:unhideWhenUsed/>
    <w:rsid w:val="00213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026951238">
          <w:marLeft w:val="0"/>
          <w:marRight w:val="0"/>
          <w:marTop w:val="0"/>
          <w:marBottom w:val="0"/>
          <w:divBdr>
            <w:top w:val="none" w:sz="0" w:space="0" w:color="auto"/>
            <w:left w:val="none" w:sz="0" w:space="0" w:color="auto"/>
            <w:bottom w:val="none" w:sz="0" w:space="0" w:color="auto"/>
            <w:right w:val="none" w:sz="0" w:space="0" w:color="auto"/>
          </w:divBdr>
        </w:div>
        <w:div w:id="1334064313">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442189015">
          <w:marLeft w:val="0"/>
          <w:marRight w:val="0"/>
          <w:marTop w:val="0"/>
          <w:marBottom w:val="0"/>
          <w:divBdr>
            <w:top w:val="none" w:sz="0" w:space="0" w:color="auto"/>
            <w:left w:val="none" w:sz="0" w:space="0" w:color="auto"/>
            <w:bottom w:val="none" w:sz="0" w:space="0" w:color="auto"/>
            <w:right w:val="none" w:sz="0" w:space="0" w:color="auto"/>
          </w:divBdr>
        </w:div>
        <w:div w:id="1675573102">
          <w:marLeft w:val="0"/>
          <w:marRight w:val="0"/>
          <w:marTop w:val="0"/>
          <w:marBottom w:val="0"/>
          <w:divBdr>
            <w:top w:val="none" w:sz="0" w:space="0" w:color="auto"/>
            <w:left w:val="none" w:sz="0" w:space="0" w:color="auto"/>
            <w:bottom w:val="none" w:sz="0" w:space="0" w:color="auto"/>
            <w:right w:val="none" w:sz="0" w:space="0" w:color="auto"/>
          </w:divBdr>
        </w:div>
      </w:divsChild>
    </w:div>
    <w:div w:id="368772406">
      <w:bodyDiv w:val="1"/>
      <w:marLeft w:val="0"/>
      <w:marRight w:val="0"/>
      <w:marTop w:val="0"/>
      <w:marBottom w:val="0"/>
      <w:divBdr>
        <w:top w:val="none" w:sz="0" w:space="0" w:color="auto"/>
        <w:left w:val="none" w:sz="0" w:space="0" w:color="auto"/>
        <w:bottom w:val="none" w:sz="0" w:space="0" w:color="auto"/>
        <w:right w:val="none" w:sz="0" w:space="0" w:color="auto"/>
      </w:divBdr>
    </w:div>
    <w:div w:id="556478666">
      <w:bodyDiv w:val="1"/>
      <w:marLeft w:val="0"/>
      <w:marRight w:val="0"/>
      <w:marTop w:val="0"/>
      <w:marBottom w:val="0"/>
      <w:divBdr>
        <w:top w:val="none" w:sz="0" w:space="0" w:color="auto"/>
        <w:left w:val="none" w:sz="0" w:space="0" w:color="auto"/>
        <w:bottom w:val="none" w:sz="0" w:space="0" w:color="auto"/>
        <w:right w:val="none" w:sz="0" w:space="0" w:color="auto"/>
      </w:divBdr>
    </w:div>
    <w:div w:id="561522289">
      <w:bodyDiv w:val="1"/>
      <w:marLeft w:val="0"/>
      <w:marRight w:val="0"/>
      <w:marTop w:val="0"/>
      <w:marBottom w:val="0"/>
      <w:divBdr>
        <w:top w:val="none" w:sz="0" w:space="0" w:color="auto"/>
        <w:left w:val="none" w:sz="0" w:space="0" w:color="auto"/>
        <w:bottom w:val="none" w:sz="0" w:space="0" w:color="auto"/>
        <w:right w:val="none" w:sz="0" w:space="0" w:color="auto"/>
      </w:divBdr>
    </w:div>
    <w:div w:id="624889492">
      <w:bodyDiv w:val="1"/>
      <w:marLeft w:val="0"/>
      <w:marRight w:val="0"/>
      <w:marTop w:val="0"/>
      <w:marBottom w:val="0"/>
      <w:divBdr>
        <w:top w:val="none" w:sz="0" w:space="0" w:color="auto"/>
        <w:left w:val="none" w:sz="0" w:space="0" w:color="auto"/>
        <w:bottom w:val="none" w:sz="0" w:space="0" w:color="auto"/>
        <w:right w:val="none" w:sz="0" w:space="0" w:color="auto"/>
      </w:divBdr>
    </w:div>
    <w:div w:id="690766021">
      <w:bodyDiv w:val="1"/>
      <w:marLeft w:val="0"/>
      <w:marRight w:val="0"/>
      <w:marTop w:val="0"/>
      <w:marBottom w:val="0"/>
      <w:divBdr>
        <w:top w:val="none" w:sz="0" w:space="0" w:color="auto"/>
        <w:left w:val="none" w:sz="0" w:space="0" w:color="auto"/>
        <w:bottom w:val="none" w:sz="0" w:space="0" w:color="auto"/>
        <w:right w:val="none" w:sz="0" w:space="0" w:color="auto"/>
      </w:divBdr>
      <w:divsChild>
        <w:div w:id="69355177">
          <w:marLeft w:val="0"/>
          <w:marRight w:val="0"/>
          <w:marTop w:val="0"/>
          <w:marBottom w:val="0"/>
          <w:divBdr>
            <w:top w:val="none" w:sz="0" w:space="0" w:color="auto"/>
            <w:left w:val="none" w:sz="0" w:space="0" w:color="auto"/>
            <w:bottom w:val="none" w:sz="0" w:space="0" w:color="auto"/>
            <w:right w:val="none" w:sz="0" w:space="0" w:color="auto"/>
          </w:divBdr>
          <w:divsChild>
            <w:div w:id="291331106">
              <w:marLeft w:val="0"/>
              <w:marRight w:val="0"/>
              <w:marTop w:val="0"/>
              <w:marBottom w:val="0"/>
              <w:divBdr>
                <w:top w:val="none" w:sz="0" w:space="0" w:color="auto"/>
                <w:left w:val="none" w:sz="0" w:space="0" w:color="auto"/>
                <w:bottom w:val="none" w:sz="0" w:space="0" w:color="auto"/>
                <w:right w:val="none" w:sz="0" w:space="0" w:color="auto"/>
              </w:divBdr>
            </w:div>
            <w:div w:id="505364738">
              <w:marLeft w:val="0"/>
              <w:marRight w:val="0"/>
              <w:marTop w:val="0"/>
              <w:marBottom w:val="0"/>
              <w:divBdr>
                <w:top w:val="none" w:sz="0" w:space="0" w:color="auto"/>
                <w:left w:val="none" w:sz="0" w:space="0" w:color="auto"/>
                <w:bottom w:val="none" w:sz="0" w:space="0" w:color="auto"/>
                <w:right w:val="none" w:sz="0" w:space="0" w:color="auto"/>
              </w:divBdr>
            </w:div>
            <w:div w:id="849181301">
              <w:marLeft w:val="0"/>
              <w:marRight w:val="0"/>
              <w:marTop w:val="0"/>
              <w:marBottom w:val="0"/>
              <w:divBdr>
                <w:top w:val="none" w:sz="0" w:space="0" w:color="auto"/>
                <w:left w:val="none" w:sz="0" w:space="0" w:color="auto"/>
                <w:bottom w:val="none" w:sz="0" w:space="0" w:color="auto"/>
                <w:right w:val="none" w:sz="0" w:space="0" w:color="auto"/>
              </w:divBdr>
            </w:div>
            <w:div w:id="925459703">
              <w:marLeft w:val="0"/>
              <w:marRight w:val="0"/>
              <w:marTop w:val="0"/>
              <w:marBottom w:val="0"/>
              <w:divBdr>
                <w:top w:val="none" w:sz="0" w:space="0" w:color="auto"/>
                <w:left w:val="none" w:sz="0" w:space="0" w:color="auto"/>
                <w:bottom w:val="none" w:sz="0" w:space="0" w:color="auto"/>
                <w:right w:val="none" w:sz="0" w:space="0" w:color="auto"/>
              </w:divBdr>
            </w:div>
            <w:div w:id="1151941483">
              <w:marLeft w:val="0"/>
              <w:marRight w:val="0"/>
              <w:marTop w:val="0"/>
              <w:marBottom w:val="0"/>
              <w:divBdr>
                <w:top w:val="none" w:sz="0" w:space="0" w:color="auto"/>
                <w:left w:val="none" w:sz="0" w:space="0" w:color="auto"/>
                <w:bottom w:val="none" w:sz="0" w:space="0" w:color="auto"/>
                <w:right w:val="none" w:sz="0" w:space="0" w:color="auto"/>
              </w:divBdr>
            </w:div>
          </w:divsChild>
        </w:div>
        <w:div w:id="326442936">
          <w:marLeft w:val="0"/>
          <w:marRight w:val="0"/>
          <w:marTop w:val="0"/>
          <w:marBottom w:val="0"/>
          <w:divBdr>
            <w:top w:val="none" w:sz="0" w:space="0" w:color="auto"/>
            <w:left w:val="none" w:sz="0" w:space="0" w:color="auto"/>
            <w:bottom w:val="none" w:sz="0" w:space="0" w:color="auto"/>
            <w:right w:val="none" w:sz="0" w:space="0" w:color="auto"/>
          </w:divBdr>
          <w:divsChild>
            <w:div w:id="1387336238">
              <w:marLeft w:val="0"/>
              <w:marRight w:val="0"/>
              <w:marTop w:val="0"/>
              <w:marBottom w:val="0"/>
              <w:divBdr>
                <w:top w:val="none" w:sz="0" w:space="0" w:color="auto"/>
                <w:left w:val="none" w:sz="0" w:space="0" w:color="auto"/>
                <w:bottom w:val="none" w:sz="0" w:space="0" w:color="auto"/>
                <w:right w:val="none" w:sz="0" w:space="0" w:color="auto"/>
              </w:divBdr>
            </w:div>
            <w:div w:id="1527329608">
              <w:marLeft w:val="0"/>
              <w:marRight w:val="0"/>
              <w:marTop w:val="0"/>
              <w:marBottom w:val="0"/>
              <w:divBdr>
                <w:top w:val="none" w:sz="0" w:space="0" w:color="auto"/>
                <w:left w:val="none" w:sz="0" w:space="0" w:color="auto"/>
                <w:bottom w:val="none" w:sz="0" w:space="0" w:color="auto"/>
                <w:right w:val="none" w:sz="0" w:space="0" w:color="auto"/>
              </w:divBdr>
            </w:div>
            <w:div w:id="1772821408">
              <w:marLeft w:val="0"/>
              <w:marRight w:val="0"/>
              <w:marTop w:val="0"/>
              <w:marBottom w:val="0"/>
              <w:divBdr>
                <w:top w:val="none" w:sz="0" w:space="0" w:color="auto"/>
                <w:left w:val="none" w:sz="0" w:space="0" w:color="auto"/>
                <w:bottom w:val="none" w:sz="0" w:space="0" w:color="auto"/>
                <w:right w:val="none" w:sz="0" w:space="0" w:color="auto"/>
              </w:divBdr>
            </w:div>
            <w:div w:id="1781073330">
              <w:marLeft w:val="0"/>
              <w:marRight w:val="0"/>
              <w:marTop w:val="0"/>
              <w:marBottom w:val="0"/>
              <w:divBdr>
                <w:top w:val="none" w:sz="0" w:space="0" w:color="auto"/>
                <w:left w:val="none" w:sz="0" w:space="0" w:color="auto"/>
                <w:bottom w:val="none" w:sz="0" w:space="0" w:color="auto"/>
                <w:right w:val="none" w:sz="0" w:space="0" w:color="auto"/>
              </w:divBdr>
            </w:div>
            <w:div w:id="1998217467">
              <w:marLeft w:val="0"/>
              <w:marRight w:val="0"/>
              <w:marTop w:val="0"/>
              <w:marBottom w:val="0"/>
              <w:divBdr>
                <w:top w:val="none" w:sz="0" w:space="0" w:color="auto"/>
                <w:left w:val="none" w:sz="0" w:space="0" w:color="auto"/>
                <w:bottom w:val="none" w:sz="0" w:space="0" w:color="auto"/>
                <w:right w:val="none" w:sz="0" w:space="0" w:color="auto"/>
              </w:divBdr>
            </w:div>
          </w:divsChild>
        </w:div>
        <w:div w:id="412775625">
          <w:marLeft w:val="0"/>
          <w:marRight w:val="0"/>
          <w:marTop w:val="0"/>
          <w:marBottom w:val="0"/>
          <w:divBdr>
            <w:top w:val="none" w:sz="0" w:space="0" w:color="auto"/>
            <w:left w:val="none" w:sz="0" w:space="0" w:color="auto"/>
            <w:bottom w:val="none" w:sz="0" w:space="0" w:color="auto"/>
            <w:right w:val="none" w:sz="0" w:space="0" w:color="auto"/>
          </w:divBdr>
        </w:div>
        <w:div w:id="528417823">
          <w:marLeft w:val="0"/>
          <w:marRight w:val="0"/>
          <w:marTop w:val="0"/>
          <w:marBottom w:val="0"/>
          <w:divBdr>
            <w:top w:val="none" w:sz="0" w:space="0" w:color="auto"/>
            <w:left w:val="none" w:sz="0" w:space="0" w:color="auto"/>
            <w:bottom w:val="none" w:sz="0" w:space="0" w:color="auto"/>
            <w:right w:val="none" w:sz="0" w:space="0" w:color="auto"/>
          </w:divBdr>
          <w:divsChild>
            <w:div w:id="292056199">
              <w:marLeft w:val="0"/>
              <w:marRight w:val="0"/>
              <w:marTop w:val="0"/>
              <w:marBottom w:val="0"/>
              <w:divBdr>
                <w:top w:val="none" w:sz="0" w:space="0" w:color="auto"/>
                <w:left w:val="none" w:sz="0" w:space="0" w:color="auto"/>
                <w:bottom w:val="none" w:sz="0" w:space="0" w:color="auto"/>
                <w:right w:val="none" w:sz="0" w:space="0" w:color="auto"/>
              </w:divBdr>
            </w:div>
            <w:div w:id="792289201">
              <w:marLeft w:val="0"/>
              <w:marRight w:val="0"/>
              <w:marTop w:val="0"/>
              <w:marBottom w:val="0"/>
              <w:divBdr>
                <w:top w:val="none" w:sz="0" w:space="0" w:color="auto"/>
                <w:left w:val="none" w:sz="0" w:space="0" w:color="auto"/>
                <w:bottom w:val="none" w:sz="0" w:space="0" w:color="auto"/>
                <w:right w:val="none" w:sz="0" w:space="0" w:color="auto"/>
              </w:divBdr>
            </w:div>
            <w:div w:id="1060984887">
              <w:marLeft w:val="0"/>
              <w:marRight w:val="0"/>
              <w:marTop w:val="0"/>
              <w:marBottom w:val="0"/>
              <w:divBdr>
                <w:top w:val="none" w:sz="0" w:space="0" w:color="auto"/>
                <w:left w:val="none" w:sz="0" w:space="0" w:color="auto"/>
                <w:bottom w:val="none" w:sz="0" w:space="0" w:color="auto"/>
                <w:right w:val="none" w:sz="0" w:space="0" w:color="auto"/>
              </w:divBdr>
            </w:div>
            <w:div w:id="1219435866">
              <w:marLeft w:val="0"/>
              <w:marRight w:val="0"/>
              <w:marTop w:val="0"/>
              <w:marBottom w:val="0"/>
              <w:divBdr>
                <w:top w:val="none" w:sz="0" w:space="0" w:color="auto"/>
                <w:left w:val="none" w:sz="0" w:space="0" w:color="auto"/>
                <w:bottom w:val="none" w:sz="0" w:space="0" w:color="auto"/>
                <w:right w:val="none" w:sz="0" w:space="0" w:color="auto"/>
              </w:divBdr>
            </w:div>
          </w:divsChild>
        </w:div>
        <w:div w:id="1611159378">
          <w:marLeft w:val="0"/>
          <w:marRight w:val="0"/>
          <w:marTop w:val="0"/>
          <w:marBottom w:val="0"/>
          <w:divBdr>
            <w:top w:val="none" w:sz="0" w:space="0" w:color="auto"/>
            <w:left w:val="none" w:sz="0" w:space="0" w:color="auto"/>
            <w:bottom w:val="none" w:sz="0" w:space="0" w:color="auto"/>
            <w:right w:val="none" w:sz="0" w:space="0" w:color="auto"/>
          </w:divBdr>
          <w:divsChild>
            <w:div w:id="673729953">
              <w:marLeft w:val="0"/>
              <w:marRight w:val="0"/>
              <w:marTop w:val="0"/>
              <w:marBottom w:val="0"/>
              <w:divBdr>
                <w:top w:val="none" w:sz="0" w:space="0" w:color="auto"/>
                <w:left w:val="none" w:sz="0" w:space="0" w:color="auto"/>
                <w:bottom w:val="none" w:sz="0" w:space="0" w:color="auto"/>
                <w:right w:val="none" w:sz="0" w:space="0" w:color="auto"/>
              </w:divBdr>
            </w:div>
            <w:div w:id="890464843">
              <w:marLeft w:val="0"/>
              <w:marRight w:val="0"/>
              <w:marTop w:val="0"/>
              <w:marBottom w:val="0"/>
              <w:divBdr>
                <w:top w:val="none" w:sz="0" w:space="0" w:color="auto"/>
                <w:left w:val="none" w:sz="0" w:space="0" w:color="auto"/>
                <w:bottom w:val="none" w:sz="0" w:space="0" w:color="auto"/>
                <w:right w:val="none" w:sz="0" w:space="0" w:color="auto"/>
              </w:divBdr>
            </w:div>
            <w:div w:id="992291158">
              <w:marLeft w:val="0"/>
              <w:marRight w:val="0"/>
              <w:marTop w:val="0"/>
              <w:marBottom w:val="0"/>
              <w:divBdr>
                <w:top w:val="none" w:sz="0" w:space="0" w:color="auto"/>
                <w:left w:val="none" w:sz="0" w:space="0" w:color="auto"/>
                <w:bottom w:val="none" w:sz="0" w:space="0" w:color="auto"/>
                <w:right w:val="none" w:sz="0" w:space="0" w:color="auto"/>
              </w:divBdr>
            </w:div>
            <w:div w:id="1515994511">
              <w:marLeft w:val="0"/>
              <w:marRight w:val="0"/>
              <w:marTop w:val="0"/>
              <w:marBottom w:val="0"/>
              <w:divBdr>
                <w:top w:val="none" w:sz="0" w:space="0" w:color="auto"/>
                <w:left w:val="none" w:sz="0" w:space="0" w:color="auto"/>
                <w:bottom w:val="none" w:sz="0" w:space="0" w:color="auto"/>
                <w:right w:val="none" w:sz="0" w:space="0" w:color="auto"/>
              </w:divBdr>
            </w:div>
            <w:div w:id="192807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041852">
      <w:bodyDiv w:val="1"/>
      <w:marLeft w:val="0"/>
      <w:marRight w:val="0"/>
      <w:marTop w:val="0"/>
      <w:marBottom w:val="0"/>
      <w:divBdr>
        <w:top w:val="none" w:sz="0" w:space="0" w:color="auto"/>
        <w:left w:val="none" w:sz="0" w:space="0" w:color="auto"/>
        <w:bottom w:val="none" w:sz="0" w:space="0" w:color="auto"/>
        <w:right w:val="none" w:sz="0" w:space="0" w:color="auto"/>
      </w:divBdr>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 w:id="992836618">
      <w:bodyDiv w:val="1"/>
      <w:marLeft w:val="0"/>
      <w:marRight w:val="0"/>
      <w:marTop w:val="0"/>
      <w:marBottom w:val="0"/>
      <w:divBdr>
        <w:top w:val="none" w:sz="0" w:space="0" w:color="auto"/>
        <w:left w:val="none" w:sz="0" w:space="0" w:color="auto"/>
        <w:bottom w:val="none" w:sz="0" w:space="0" w:color="auto"/>
        <w:right w:val="none" w:sz="0" w:space="0" w:color="auto"/>
      </w:divBdr>
    </w:div>
    <w:div w:id="209689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10813.zip" TargetMode="External"/><Relationship Id="rId3" Type="http://schemas.openxmlformats.org/officeDocument/2006/relationships/settings" Target="settings.xml"/><Relationship Id="rId7" Type="http://schemas.openxmlformats.org/officeDocument/2006/relationships/hyperlink" Target="http://3gpp.org/ftp/tsg_ran/TSG_RAN/TSGR_94e/Docs/RP-2135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19bis-e/Docs/R2-22108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Base/>
  <HLinks>
    <vt:vector size="18" baseType="variant">
      <vt:variant>
        <vt:i4>4063297</vt:i4>
      </vt:variant>
      <vt:variant>
        <vt:i4>6</vt:i4>
      </vt:variant>
      <vt:variant>
        <vt:i4>0</vt:i4>
      </vt:variant>
      <vt:variant>
        <vt:i4>5</vt:i4>
      </vt:variant>
      <vt:variant>
        <vt:lpwstr>https://www.3gpp.org/ftp/TSG_RAN/WG2_RL2/TSGR2_119bis-e/Docs/R2-2210813.zip</vt:lpwstr>
      </vt:variant>
      <vt:variant>
        <vt:lpwstr/>
      </vt:variant>
      <vt:variant>
        <vt:i4>4063297</vt:i4>
      </vt:variant>
      <vt:variant>
        <vt:i4>3</vt:i4>
      </vt:variant>
      <vt:variant>
        <vt:i4>0</vt:i4>
      </vt:variant>
      <vt:variant>
        <vt:i4>5</vt:i4>
      </vt:variant>
      <vt:variant>
        <vt:lpwstr>https://www.3gpp.org/ftp/TSG_RAN/WG2_RL2/TSGR2_119bis-e/Docs/R2-2210813.zip</vt:lpwstr>
      </vt:variant>
      <vt:variant>
        <vt:lpwstr/>
      </vt:variant>
      <vt:variant>
        <vt:i4>3801182</vt:i4>
      </vt:variant>
      <vt:variant>
        <vt:i4>0</vt:i4>
      </vt:variant>
      <vt:variant>
        <vt:i4>0</vt:i4>
      </vt:variant>
      <vt:variant>
        <vt:i4>5</vt:i4>
      </vt:variant>
      <vt:variant>
        <vt:lpwstr>http://3gpp.org/ftp/tsg_ran/TSG_RAN/TSGR_94e/Docs/RP-213594.zip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2023-02-17T08:30:00Z</dcterms:created>
  <dcterms:modified xsi:type="dcterms:W3CDTF">2023-02-17T08:33:00Z</dcterms:modified>
</cp:coreProperties>
</file>